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left"/>
        <w:spacing w:line="360" w:lineRule="auto"/>
        <w:tabs>
          <w:tab w:val="left" w:pos="5609" w:leader="none"/>
        </w:tabs>
        <w:rPr>
          <w:bCs/>
          <w:color w:val="auto"/>
          <w:sz w:val="36"/>
          <w:szCs w:val="36"/>
          <w:highlight w:val="none"/>
        </w:rPr>
      </w:pPr>
      <w:r>
        <w:rPr>
          <w:bCs/>
          <w:color w:val="auto"/>
          <w:sz w:val="36"/>
          <w:szCs w:val="36"/>
          <w:highlight w:val="none"/>
        </w:rPr>
      </w:r>
      <w:r/>
    </w:p>
    <w:p>
      <w:pPr>
        <w:ind w:left="2518" w:hanging="1800"/>
        <w:jc w:val="left"/>
        <w:spacing w:line="360" w:lineRule="auto"/>
        <w:tabs>
          <w:tab w:val="left" w:pos="5609" w:leader="none"/>
        </w:tabs>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rPr>
        <w:t xml:space="preserve">新闸街道片区提升规划及单元层次详细规划研究（常州钟楼区ZLXZ01、ZLXZ02单元）</w:t>
      </w:r>
      <w:r/>
    </w:p>
    <w:p>
      <w:pPr>
        <w:ind w:firstLine="720"/>
        <w:jc w:val="left"/>
        <w:spacing w:line="360" w:lineRule="auto"/>
        <w:tabs>
          <w:tab w:val="left" w:pos="5609" w:leader="none"/>
        </w:tabs>
        <w:rPr>
          <w:rFonts w:hint="default" w:eastAsia="宋体"/>
          <w:bCs/>
          <w:color w:val="auto"/>
          <w:sz w:val="36"/>
          <w:szCs w:val="36"/>
          <w:highlight w:val="none"/>
          <w:lang w:val="en-US" w:eastAsia="zh-CN"/>
        </w:rPr>
      </w:pPr>
      <w:r>
        <w:rPr>
          <w:bCs/>
          <w:color w:val="auto"/>
          <w:sz w:val="36"/>
          <w:szCs w:val="36"/>
          <w:highlight w:val="none"/>
        </w:rPr>
        <w:t xml:space="preserve">项目编号：</w:t>
      </w:r>
      <w:r>
        <w:rPr>
          <w:rFonts w:hint="eastAsia"/>
          <w:bCs/>
          <w:color w:val="auto"/>
          <w:sz w:val="36"/>
          <w:szCs w:val="36"/>
          <w:highlight w:val="none"/>
        </w:rPr>
        <w:t xml:space="preserve">JSZC-320404-YTZB-C2025-0</w:t>
      </w:r>
      <w:r>
        <w:rPr>
          <w:rFonts w:hint="eastAsia"/>
          <w:bCs/>
          <w:color w:val="auto"/>
          <w:sz w:val="36"/>
          <w:szCs w:val="36"/>
          <w:highlight w:val="none"/>
          <w:lang w:val="en-US" w:eastAsia="zh-CN"/>
        </w:rPr>
        <w:t xml:space="preserve">106</w:t>
      </w:r>
      <w:r/>
    </w:p>
    <w:p>
      <w:pPr>
        <w:ind w:firstLine="72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常州市钟楼区人民政府办公室</w:t>
      </w:r>
      <w:r/>
    </w:p>
    <w:p>
      <w:pPr>
        <w:ind w:firstLine="72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常州盈泰招标有限公司</w:t>
      </w:r>
      <w:r/>
    </w:p>
    <w:p>
      <w:pPr>
        <w:jc w:val="left"/>
        <w:widowControl/>
        <w:rPr>
          <w:color w:val="auto"/>
          <w:sz w:val="24"/>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Column"/>
          <w:pgSz w:w="11907" w:h="16838" w:orient="portrait"/>
          <w:pgMar w:top="1417" w:right="1134" w:bottom="1417" w:left="1361" w:header="850" w:footer="850" w:gutter="0"/>
          <w:pgNumType w:start="1"/>
          <w:cols w:num="1" w:sep="0" w:space="0" w:equalWidth="1"/>
          <w:docGrid w:linePitch="360"/>
          <w:titlePg/>
        </w:sectPr>
      </w:pPr>
      <w:r>
        <w:rPr>
          <w:color w:val="auto"/>
          <w:sz w:val="24"/>
          <w:highlight w:val="none"/>
        </w:rPr>
        <w:br w:type="page" w:clear="all"/>
      </w:r>
      <w:r/>
    </w:p>
    <w:p>
      <w:pPr>
        <w:jc w:val="left"/>
        <w:widowControl/>
        <w:rPr>
          <w:color w:val="auto"/>
          <w:sz w:val="24"/>
          <w:highlight w:val="none"/>
        </w:rPr>
      </w:pPr>
      <w:r>
        <w:rPr>
          <w:color w:val="auto"/>
          <w:sz w:val="24"/>
          <w:highlight w:val="none"/>
        </w:rPr>
      </w:r>
      <w:r/>
    </w:p>
    <w:p>
      <w:pPr>
        <w:pStyle w:val="1232"/>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bookmarkStart w:id="1" w:name="_Toc139291591"/>
      <w:r/>
      <w:bookmarkStart w:id="2" w:name="_Toc24329"/>
      <w:r/>
      <w:bookmarkStart w:id="3" w:name="_Toc19025"/>
      <w:r>
        <w:rPr>
          <w:rFonts w:hint="eastAsia"/>
          <w:b/>
          <w:color w:val="auto"/>
          <w:sz w:val="36"/>
          <w:szCs w:val="36"/>
          <w:highlight w:val="none"/>
        </w:rPr>
        <w:t xml:space="preserve">目录</w:t>
      </w:r>
      <w:bookmarkEnd w:id="0"/>
      <w:r/>
      <w:bookmarkEnd w:id="1"/>
      <w:r/>
      <w:bookmarkEnd w:id="2"/>
      <w:r/>
      <w:bookmarkEnd w:id="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99"/>
        <w:tabs>
          <w:tab w:val="clear" w:pos="1050" w:leader="none"/>
          <w:tab w:val="clear" w:pos="8937" w:leader="none"/>
          <w:tab w:val="right" w:pos="9412" w:leader="dot"/>
        </w:tabs>
        <w:rPr>
          <w:color w:val="auto"/>
          <w:sz w:val="32"/>
          <w:szCs w:val="32"/>
          <w:highlight w:val="none"/>
        </w:rPr>
      </w:pPr>
      <w:r>
        <w:rPr>
          <w:rFonts w:ascii="Times New Roman" w:hAnsi="Times New Roman"/>
          <w:b w:val="0"/>
          <w:color w:val="auto"/>
          <w:sz w:val="44"/>
          <w:szCs w:val="44"/>
          <w:highlight w:val="none"/>
        </w:rPr>
        <w:fldChar w:fldCharType="begin"/>
      </w:r>
      <w:r>
        <w:rPr>
          <w:rFonts w:ascii="Times New Roman" w:hAnsi="Times New Roman"/>
          <w:b w:val="0"/>
          <w:color w:val="auto"/>
          <w:sz w:val="44"/>
          <w:szCs w:val="44"/>
          <w:highlight w:val="none"/>
        </w:rPr>
        <w:instrText xml:space="preserve"> TOC \o "1-1" \h \z \u </w:instrText>
      </w:r>
      <w:r>
        <w:rPr>
          <w:rFonts w:ascii="Times New Roman" w:hAnsi="Times New Roman"/>
          <w:b w:val="0"/>
          <w:color w:val="auto"/>
          <w:sz w:val="44"/>
          <w:szCs w:val="44"/>
          <w:highlight w:val="none"/>
        </w:rPr>
        <w:fldChar w:fldCharType="separate"/>
      </w:r>
      <w:r>
        <w:rPr>
          <w:color w:val="auto"/>
          <w:highlight w:val="none"/>
        </w:rPr>
        <w:fldChar w:fldCharType="begin"/>
      </w:r>
      <w:r>
        <w:rPr>
          <w:color w:val="auto"/>
          <w:highlight w:val="none"/>
        </w:rPr>
        <w:instrText xml:space="preserve"> HYPERLINK \l "_Toc21157" </w:instrText>
      </w:r>
      <w:r>
        <w:rPr>
          <w:color w:val="auto"/>
          <w:highlight w:val="none"/>
        </w:rPr>
        <w:fldChar w:fldCharType="separate"/>
      </w:r>
      <w:r>
        <w:rPr>
          <w:color w:val="auto"/>
          <w:sz w:val="32"/>
          <w:szCs w:val="44"/>
          <w:highlight w:val="none"/>
        </w:rPr>
        <w:t xml:space="preserve">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_Toc21157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p>
    <w:p>
      <w:pPr>
        <w:pStyle w:val="999"/>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"_Toc9029" </w:instrText>
      </w:r>
      <w:r>
        <w:rPr>
          <w:color w:val="auto"/>
          <w:highlight w:val="none"/>
        </w:rPr>
        <w:fldChar w:fldCharType="separate"/>
      </w:r>
      <w:r>
        <w:rPr>
          <w:color w:val="auto"/>
          <w:sz w:val="32"/>
          <w:szCs w:val="44"/>
          <w:highlight w:val="none"/>
        </w:rPr>
        <w:t xml:space="preserve">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_Toc9029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999"/>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"_Toc11129" </w:instrText>
      </w:r>
      <w:r>
        <w:rPr>
          <w:color w:val="auto"/>
          <w:highlight w:val="none"/>
        </w:rPr>
        <w:fldChar w:fldCharType="separate"/>
      </w:r>
      <w:r>
        <w:rPr>
          <w:rFonts w:hint="eastAsia"/>
          <w:color w:val="auto"/>
          <w:sz w:val="32"/>
          <w:szCs w:val="44"/>
          <w:highlight w:val="none"/>
        </w:rPr>
        <w:t xml:space="preserve">第三章   </w:t>
      </w:r>
      <w:r>
        <w:rPr>
          <w:color w:val="auto"/>
          <w:sz w:val="32"/>
          <w:szCs w:val="44"/>
          <w:highlight w:val="none"/>
        </w:rPr>
        <w:t xml:space="preserve">评审</w:t>
      </w:r>
      <w:r>
        <w:rPr>
          <w:rFonts w:hint="eastAsia"/>
          <w:color w:val="auto"/>
          <w:sz w:val="32"/>
          <w:szCs w:val="44"/>
          <w:highlight w:val="none"/>
        </w:rPr>
        <w:t xml:space="preserve">程序、评审</w:t>
      </w:r>
      <w:r>
        <w:rPr>
          <w:color w:val="auto"/>
          <w:sz w:val="32"/>
          <w:szCs w:val="44"/>
          <w:highlight w:val="none"/>
        </w:rPr>
        <w:t xml:space="preserve">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_Toc11129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999"/>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"_Toc28501" </w:instrText>
      </w:r>
      <w:r>
        <w:rPr>
          <w:color w:val="auto"/>
          <w:highlight w:val="none"/>
        </w:rPr>
        <w:fldChar w:fldCharType="separate"/>
      </w:r>
      <w:r>
        <w:rPr>
          <w:rFonts w:hint="eastAsia"/>
          <w:color w:val="auto"/>
          <w:sz w:val="32"/>
          <w:szCs w:val="44"/>
          <w:highlight w:val="none"/>
        </w:rPr>
        <w:t xml:space="preserve">第四章   </w:t>
      </w:r>
      <w:r>
        <w:rPr>
          <w:color w:val="auto"/>
          <w:sz w:val="32"/>
          <w:szCs w:val="44"/>
          <w:highlight w:val="none"/>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_Toc28501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color w:val="auto"/>
          <w:sz w:val="32"/>
          <w:szCs w:val="32"/>
          <w:highlight w:val="none"/>
        </w:rPr>
        <w:fldChar w:fldCharType="end"/>
      </w:r>
      <w:r/>
    </w:p>
    <w:p>
      <w:pPr>
        <w:pStyle w:val="999"/>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"_Toc28236" </w:instrText>
      </w:r>
      <w:r>
        <w:rPr>
          <w:color w:val="auto"/>
          <w:highlight w:val="none"/>
        </w:rPr>
        <w:fldChar w:fldCharType="separate"/>
      </w:r>
      <w:r>
        <w:rPr>
          <w:color w:val="auto"/>
          <w:sz w:val="32"/>
          <w:szCs w:val="44"/>
          <w:highlight w:val="none"/>
        </w:rPr>
        <w:t xml:space="preserve">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_Toc28236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color w:val="auto"/>
          <w:sz w:val="32"/>
          <w:szCs w:val="32"/>
          <w:highlight w:val="none"/>
        </w:rPr>
        <w:fldChar w:fldCharType="end"/>
      </w:r>
      <w:r/>
    </w:p>
    <w:p>
      <w:pPr>
        <w:pStyle w:val="999"/>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"_Toc12791" </w:instrText>
      </w:r>
      <w:r>
        <w:rPr>
          <w:color w:val="auto"/>
          <w:highlight w:val="none"/>
        </w:rPr>
        <w:fldChar w:fldCharType="separate"/>
      </w:r>
      <w:r>
        <w:rPr>
          <w:color w:val="auto"/>
          <w:sz w:val="32"/>
          <w:szCs w:val="44"/>
          <w:highlight w:val="none"/>
        </w:rPr>
        <w:t xml:space="preserve">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_Toc12791 \h </w:instrText>
      </w:r>
      <w:r>
        <w:rPr>
          <w:color w:val="auto"/>
          <w:sz w:val="32"/>
          <w:szCs w:val="32"/>
          <w:highlight w:val="none"/>
        </w:rPr>
        <w:fldChar w:fldCharType="separate"/>
      </w:r>
      <w:r>
        <w:rPr>
          <w:color w:val="auto"/>
          <w:sz w:val="32"/>
          <w:szCs w:val="32"/>
          <w:highlight w:val="none"/>
        </w:rPr>
        <w:t xml:space="preserve">44</w:t>
      </w:r>
      <w:r>
        <w:rPr>
          <w:color w:val="auto"/>
          <w:sz w:val="32"/>
          <w:szCs w:val="32"/>
          <w:highlight w:val="none"/>
        </w:rPr>
        <w:fldChar w:fldCharType="end"/>
      </w:r>
      <w:r>
        <w:rPr>
          <w:color w:val="auto"/>
          <w:sz w:val="32"/>
          <w:szCs w:val="32"/>
          <w:highlight w:val="none"/>
        </w:rPr>
        <w:fldChar w:fldCharType="end"/>
      </w:r>
      <w:r/>
    </w:p>
    <w:p>
      <w:pPr>
        <w:pStyle w:val="999"/>
        <w:spacing w:line="360" w:lineRule="auto"/>
        <w:rPr>
          <w:rFonts w:ascii="Times New Roman" w:hAnsi="Times New Roman"/>
          <w:b w:val="0"/>
          <w:color w:val="auto"/>
          <w:sz w:val="44"/>
          <w:szCs w:val="44"/>
          <w:highlight w:val="none"/>
        </w:rPr>
      </w:pPr>
      <w:r>
        <w:rPr>
          <w:rFonts w:ascii="Times New Roman" w:hAnsi="Times New Roman"/>
          <w:color w:val="auto"/>
          <w:sz w:val="32"/>
          <w:szCs w:val="44"/>
          <w:highlight w:val="none"/>
        </w:rPr>
        <w:fldChar w:fldCharType="end"/>
      </w:r>
      <w:r/>
    </w:p>
    <w:p>
      <w:pPr>
        <w:pStyle w:val="999"/>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footerReference w:type="default" r:id="rId18"/>
          <w:footerReference w:type="first" r:id="rId19"/>
          <w:footnotePr/>
          <w:endnotePr/>
          <w:type w:val="nextPage"/>
          <w:pgSz w:w="11907" w:h="16838" w:orient="portrait"/>
          <w:pgMar w:top="1417" w:right="1134" w:bottom="1417" w:left="1361" w:header="850" w:footer="850" w:gutter="0"/>
          <w:pgNumType w:start="1"/>
          <w:cols w:num="1" w:sep="0" w:space="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4" w:name="_Toc21157"/>
      <w:r>
        <w:rPr>
          <w:b/>
          <w:color w:val="auto"/>
          <w:sz w:val="36"/>
          <w:szCs w:val="36"/>
          <w:highlight w:val="none"/>
        </w:rPr>
        <w:t xml:space="preserve">第一章   采购邀请</w:t>
      </w:r>
      <w:bookmarkEnd w:id="4"/>
      <w:r/>
      <w:bookmarkStart w:id="5" w:name="_Toc28359002"/>
      <w:r/>
      <w:bookmarkStart w:id="6" w:name="_Toc28359079"/>
      <w:r/>
      <w:bookmarkStart w:id="7" w:name="_Toc35393621"/>
      <w:r/>
      <w:bookmarkStart w:id="8" w:name="_Toc35393790"/>
      <w:r/>
      <w:bookmarkStart w:id="9" w:name="_Hlk24379207"/>
      <w:r/>
      <w:r/>
    </w:p>
    <w:p>
      <w:pPr>
        <w:ind w:firstLine="480"/>
        <w:spacing w:line="360" w:lineRule="auto"/>
        <w:rPr>
          <w:color w:val="auto"/>
          <w:sz w:val="24"/>
          <w:highlight w:val="none"/>
        </w:rPr>
      </w:pPr>
      <w:r>
        <w:rPr>
          <w:color w:val="auto"/>
          <w:sz w:val="24"/>
          <w:highlight w:val="none"/>
        </w:rPr>
      </w:r>
      <w:r/>
    </w:p>
    <w:p>
      <w:pPr>
        <w:pStyle w:val="1164"/>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hint="default" w:eastAsia="宋体"/>
          <w:color w:val="auto"/>
          <w:sz w:val="24"/>
          <w:highlight w:val="none"/>
          <w:lang w:val="en-US" w:eastAsia="zh-CN"/>
        </w:rPr>
      </w:pPr>
      <w:r>
        <w:rPr>
          <w:color w:val="auto"/>
          <w:sz w:val="24"/>
          <w:highlight w:val="none"/>
        </w:rPr>
        <w:t xml:space="preserve">1.项目编号：</w:t>
      </w:r>
      <w:r>
        <w:rPr>
          <w:rFonts w:hint="eastAsia"/>
          <w:color w:val="auto"/>
          <w:sz w:val="24"/>
          <w:highlight w:val="none"/>
        </w:rPr>
        <w:t xml:space="preserve">JSZC-320404-YTZB-C2025-0</w:t>
      </w:r>
      <w:r>
        <w:rPr>
          <w:rFonts w:hint="eastAsia"/>
          <w:color w:val="auto"/>
          <w:sz w:val="24"/>
          <w:highlight w:val="none"/>
          <w:lang w:val="en-US" w:eastAsia="zh-CN"/>
        </w:rPr>
        <w:t xml:space="preserve">106</w:t>
      </w:r>
      <w:r/>
    </w:p>
    <w:p>
      <w:pPr>
        <w:ind w:firstLine="480"/>
        <w:spacing w:line="360" w:lineRule="auto"/>
        <w:rPr>
          <w:color w:val="auto"/>
          <w:sz w:val="24"/>
          <w:highlight w:val="none"/>
        </w:rPr>
      </w:pPr>
      <w:r>
        <w:rPr>
          <w:color w:val="auto"/>
          <w:sz w:val="24"/>
          <w:highlight w:val="none"/>
        </w:rPr>
        <w:t xml:space="preserve">2.项目名称：</w:t>
      </w:r>
      <w:bookmarkStart w:id="10" w:name="_Hlk139273959"/>
      <w:r>
        <w:rPr>
          <w:rFonts w:hint="eastAsia"/>
          <w:color w:val="auto"/>
          <w:sz w:val="24"/>
          <w:highlight w:val="none"/>
        </w:rPr>
        <w:t xml:space="preserve">新闸街道片区提升规划及单元层次详细规划研究（常州钟楼区ZLXZ01、ZLXZ02单元）</w:t>
      </w:r>
      <w:bookmarkEnd w:id="10"/>
      <w:r/>
    </w:p>
    <w:p>
      <w:pPr>
        <w:ind w:firstLine="480"/>
        <w:spacing w:line="360" w:lineRule="auto"/>
        <w:rPr>
          <w:color w:val="auto"/>
          <w:sz w:val="24"/>
          <w:highlight w:val="none"/>
        </w:rPr>
      </w:pPr>
      <w:r>
        <w:rPr>
          <w:color w:val="auto"/>
          <w:sz w:val="24"/>
          <w:highlight w:val="none"/>
        </w:rPr>
        <w:t xml:space="preserve">3.采购方式：竞争性磋商</w:t>
      </w:r>
      <w:bookmarkEnd w:id="9"/>
      <w:r/>
    </w:p>
    <w:p>
      <w:pPr>
        <w:ind w:firstLine="480"/>
        <w:spacing w:line="360" w:lineRule="auto"/>
        <w:rPr>
          <w:color w:val="auto"/>
          <w:sz w:val="24"/>
          <w:highlight w:val="none"/>
        </w:rPr>
      </w:pPr>
      <w:r>
        <w:rPr>
          <w:color w:val="auto"/>
          <w:sz w:val="24"/>
          <w:highlight w:val="none"/>
        </w:rPr>
        <w:t xml:space="preserve">4.项目预算金额：</w:t>
      </w:r>
      <w:r>
        <w:rPr>
          <w:rFonts w:hint="eastAsia"/>
          <w:color w:val="auto"/>
          <w:sz w:val="24"/>
          <w:highlight w:val="none"/>
        </w:rPr>
        <w:t xml:space="preserve">人民币1</w:t>
      </w:r>
      <w:r>
        <w:rPr>
          <w:rFonts w:hint="eastAsia"/>
          <w:color w:val="auto"/>
          <w:sz w:val="24"/>
          <w:highlight w:val="none"/>
          <w:lang w:val="en-US" w:eastAsia="zh-CN"/>
        </w:rPr>
        <w:t xml:space="preserve">62</w:t>
      </w:r>
      <w:r>
        <w:rPr>
          <w:rFonts w:hint="eastAsia"/>
          <w:color w:val="auto"/>
          <w:sz w:val="24"/>
          <w:highlight w:val="none"/>
        </w:rPr>
        <w:t xml:space="preserve">万</w:t>
      </w:r>
      <w:r>
        <w:rPr>
          <w:color w:val="auto"/>
          <w:sz w:val="24"/>
          <w:highlight w:val="none"/>
        </w:rPr>
        <w:t xml:space="preserve">元</w:t>
      </w:r>
      <w:r/>
    </w:p>
    <w:p>
      <w:pPr>
        <w:ind w:firstLine="720"/>
        <w:spacing w:line="360" w:lineRule="auto"/>
        <w:rPr>
          <w:color w:val="auto"/>
          <w:sz w:val="24"/>
          <w:highlight w:val="none"/>
        </w:rPr>
      </w:pPr>
      <w:r>
        <w:rPr>
          <w:color w:val="auto"/>
          <w:sz w:val="24"/>
          <w:highlight w:val="none"/>
        </w:rPr>
        <w:t xml:space="preserve">项目最高限价（</w:t>
      </w:r>
      <w:r>
        <w:rPr>
          <w:rFonts w:hint="eastAsia"/>
          <w:color w:val="auto"/>
          <w:sz w:val="24"/>
          <w:highlight w:val="none"/>
        </w:rPr>
        <w:t xml:space="preserve">控制价</w:t>
      </w:r>
      <w:r>
        <w:rPr>
          <w:color w:val="auto"/>
          <w:sz w:val="24"/>
          <w:highlight w:val="none"/>
        </w:rPr>
        <w:t xml:space="preserve">）：</w:t>
      </w:r>
      <w:bookmarkStart w:id="11" w:name="_Hlk181913322"/>
      <w:r>
        <w:rPr>
          <w:rFonts w:hint="eastAsia"/>
          <w:color w:val="auto"/>
          <w:sz w:val="24"/>
          <w:highlight w:val="none"/>
        </w:rPr>
        <w:t xml:space="preserve">人民币1</w:t>
      </w:r>
      <w:r>
        <w:rPr>
          <w:rFonts w:hint="eastAsia"/>
          <w:color w:val="auto"/>
          <w:sz w:val="24"/>
          <w:highlight w:val="none"/>
          <w:lang w:val="en-US" w:eastAsia="zh-CN"/>
        </w:rPr>
        <w:t xml:space="preserve">62</w:t>
      </w:r>
      <w:r>
        <w:rPr>
          <w:rFonts w:hint="eastAsia"/>
          <w:color w:val="auto"/>
          <w:sz w:val="24"/>
          <w:highlight w:val="none"/>
        </w:rPr>
        <w:t xml:space="preserve">万</w:t>
      </w:r>
      <w:r>
        <w:rPr>
          <w:color w:val="auto"/>
          <w:sz w:val="24"/>
          <w:highlight w:val="none"/>
        </w:rPr>
        <w:t xml:space="preserve">元</w:t>
      </w:r>
      <w:bookmarkEnd w:id="11"/>
      <w:r/>
    </w:p>
    <w:p>
      <w:pPr>
        <w:ind w:firstLine="480"/>
        <w:spacing w:line="360" w:lineRule="auto"/>
        <w:rPr>
          <w:color w:val="auto"/>
          <w:sz w:val="24"/>
          <w:highlight w:val="none"/>
        </w:rPr>
      </w:pPr>
      <w:r>
        <w:rPr>
          <w:color w:val="auto"/>
          <w:sz w:val="24"/>
          <w:highlight w:val="none"/>
        </w:rPr>
        <w:t xml:space="preserve">5.采购需求：</w:t>
      </w:r>
      <w:r>
        <w:rPr>
          <w:rFonts w:hint="eastAsia"/>
          <w:color w:val="auto"/>
          <w:sz w:val="24"/>
          <w:highlight w:val="none"/>
        </w:rPr>
        <w:t xml:space="preserve">本项目为新闸街道片区提升规划及单元层次详细规划研究（常州钟楼区ZLXZ01、ZLXZ02单元），为贯彻落实《自然资源部关于加强国土空间详细规划工作的通知》（自然资发〔2023〕43号），结合《支持城市更新的规划</w:t>
      </w:r>
      <w:r>
        <w:rPr>
          <w:rFonts w:hint="eastAsia"/>
          <w:color w:val="auto"/>
          <w:sz w:val="24"/>
          <w:highlight w:val="none"/>
        </w:rPr>
        <w:t xml:space="preserve">与土地政策指引（2023版）》（自然资办发〔2023〕47号）、《江苏省城镇开发边界内详细规划编制指南（试行）》中相关要求，在常州发展新阶段、政策提出新要求、区域建设新方向的背景下，应重新审视新闸片区功能定位及布局，植入内涵式发展思维，落实上位规划引导要求，从区域角度对新闸片区进行整体统筹、多元协同，从发展战略、功能定位、业态策划、用地布局及空间形态等方面提出科学合理的方案，并编制单元层次的详细规划以全面适应国土空间规划新体系，分类完成街区层次详细规划的编制，推进精细化治理管控。具体内容详见竞争性磋商文件。</w:t>
      </w:r>
      <w:r/>
    </w:p>
    <w:p>
      <w:pPr>
        <w:ind w:firstLine="480"/>
        <w:spacing w:line="360" w:lineRule="auto"/>
        <w:rPr>
          <w:color w:val="auto"/>
          <w:sz w:val="24"/>
          <w:highlight w:val="none"/>
        </w:rPr>
      </w:pPr>
      <w:r>
        <w:rPr>
          <w:color w:val="auto"/>
          <w:sz w:val="24"/>
          <w:highlight w:val="none"/>
        </w:rPr>
        <w:t xml:space="preserve">6.合同履行期限：</w:t>
      </w:r>
      <w:r>
        <w:rPr>
          <w:rFonts w:hint="eastAsia"/>
          <w:color w:val="auto"/>
          <w:sz w:val="24"/>
          <w:highlight w:val="none"/>
        </w:rPr>
        <w:t xml:space="preserve">自合同签订生效后10个月内完成，具体根据项目需求和采购人要求完成各项目节点进度及总进度。</w:t>
      </w:r>
      <w:r/>
    </w:p>
    <w:p>
      <w:pPr>
        <w:ind w:firstLine="480"/>
        <w:spacing w:line="360" w:lineRule="auto"/>
        <w:rPr>
          <w:color w:val="auto"/>
          <w:sz w:val="24"/>
          <w:highlight w:val="none"/>
        </w:rPr>
      </w:pPr>
      <w:r>
        <w:rPr>
          <w:color w:val="auto"/>
          <w:sz w:val="24"/>
          <w:highlight w:val="none"/>
        </w:rPr>
        <w:t xml:space="preserve">7.本项目是否接受联合体：</w:t>
      </w:r>
      <w:r>
        <w:rPr>
          <w:rFonts w:hint="eastAsia" w:ascii="Segoe UI Symbol" w:hAnsi="Segoe UI Symbol"/>
          <w:color w:val="auto"/>
          <w:sz w:val="24"/>
          <w:highlight w:val="none"/>
        </w:rPr>
        <w:t xml:space="preserve">□</w:t>
      </w:r>
      <w:r>
        <w:rPr>
          <w:color w:val="auto"/>
          <w:sz w:val="24"/>
          <w:highlight w:val="none"/>
        </w:rPr>
        <w:t xml:space="preserve">是 </w:t>
      </w:r>
      <w:r>
        <w:rPr>
          <w:rFonts w:hint="eastAsia"/>
          <w:color w:val="auto"/>
          <w:sz w:val="24"/>
          <w:highlight w:val="none"/>
        </w:rPr>
        <w:t xml:space="preserve">■</w:t>
      </w:r>
      <w:r>
        <w:rPr>
          <w:color w:val="auto"/>
          <w:sz w:val="24"/>
          <w:highlight w:val="none"/>
        </w:rPr>
        <w:t xml:space="preserve">否。</w:t>
      </w:r>
      <w:r/>
    </w:p>
    <w:p>
      <w:pPr>
        <w:ind w:firstLine="480"/>
        <w:spacing w:line="360" w:lineRule="auto"/>
        <w:rPr>
          <w:color w:val="auto"/>
          <w:sz w:val="24"/>
          <w:highlight w:val="none"/>
        </w:rPr>
      </w:pPr>
      <w:r/>
      <w:bookmarkStart w:id="12" w:name="_Toc35393791"/>
      <w:r/>
      <w:bookmarkStart w:id="13" w:name="_Toc35393622"/>
      <w:r/>
      <w:bookmarkStart w:id="14" w:name="_Toc28359080"/>
      <w:r/>
      <w:bookmarkStart w:id="15" w:name="_Toc28359003"/>
      <w:r>
        <w:rPr>
          <w:rFonts w:hint="eastAsia"/>
          <w:color w:val="auto"/>
          <w:sz w:val="24"/>
          <w:highlight w:val="none"/>
        </w:rPr>
        <w:t xml:space="preserve">8.</w:t>
      </w:r>
      <w:r>
        <w:rPr>
          <w:color w:val="auto"/>
          <w:sz w:val="24"/>
          <w:highlight w:val="none"/>
        </w:rPr>
        <w:t xml:space="preserve">本项目是否接受</w:t>
      </w:r>
      <w:r>
        <w:rPr>
          <w:rFonts w:hint="eastAsia"/>
          <w:color w:val="auto"/>
          <w:sz w:val="24"/>
          <w:highlight w:val="none"/>
        </w:rPr>
        <w:t xml:space="preserve">进口产品响应</w:t>
      </w:r>
      <w:r>
        <w:rPr>
          <w:color w:val="auto"/>
          <w:sz w:val="24"/>
          <w:highlight w:val="none"/>
        </w:rPr>
        <w:t xml:space="preserve">：</w:t>
      </w:r>
      <w:r>
        <w:rPr>
          <w:rFonts w:hint="eastAsia" w:ascii="Segoe UI Symbol" w:hAnsi="Segoe UI Symbol"/>
          <w:color w:val="auto"/>
          <w:sz w:val="24"/>
          <w:highlight w:val="none"/>
        </w:rPr>
        <w:t xml:space="preserve">□</w:t>
      </w:r>
      <w:r>
        <w:rPr>
          <w:color w:val="auto"/>
          <w:sz w:val="24"/>
          <w:highlight w:val="none"/>
        </w:rPr>
        <w:t xml:space="preserve">是  </w:t>
      </w:r>
      <w:r>
        <w:rPr>
          <w:rFonts w:hint="eastAsia"/>
          <w:color w:val="auto"/>
          <w:sz w:val="24"/>
          <w:highlight w:val="none"/>
        </w:rPr>
        <w:t xml:space="preserve">■</w:t>
      </w:r>
      <w:r>
        <w:rPr>
          <w:color w:val="auto"/>
          <w:sz w:val="24"/>
          <w:highlight w:val="none"/>
        </w:rPr>
        <w:t xml:space="preserve">否。</w:t>
      </w:r>
      <w:r/>
    </w:p>
    <w:p>
      <w:pPr>
        <w:pStyle w:val="1164"/>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二、申请人的资格要求（须同时满足）</w:t>
      </w:r>
      <w:bookmarkEnd w:id="12"/>
      <w:r/>
      <w:bookmarkEnd w:id="13"/>
      <w:r/>
      <w:bookmarkEnd w:id="14"/>
      <w:r/>
      <w:bookmarkEnd w:id="15"/>
      <w:r/>
      <w:r/>
    </w:p>
    <w:p>
      <w:pPr>
        <w:ind w:firstLine="480"/>
        <w:spacing w:line="360" w:lineRule="auto"/>
        <w:rPr>
          <w:color w:val="auto"/>
          <w:sz w:val="24"/>
          <w:highlight w:val="none"/>
        </w:rPr>
      </w:pPr>
      <w:r/>
      <w:bookmarkStart w:id="16" w:name="_Toc28359004"/>
      <w:r/>
      <w:bookmarkStart w:id="17" w:name="_Toc28359081"/>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color w:val="auto"/>
          <w:sz w:val="24"/>
          <w:highlight w:val="none"/>
        </w:rPr>
      </w:pPr>
      <w:r>
        <w:rPr>
          <w:rFonts w:hint="eastAsia"/>
          <w:color w:val="auto"/>
          <w:sz w:val="24"/>
          <w:highlight w:val="none"/>
        </w:rPr>
        <w:t xml:space="preserve">■</w:t>
      </w:r>
      <w:r>
        <w:rPr>
          <w:color w:val="auto"/>
          <w:sz w:val="24"/>
          <w:highlight w:val="none"/>
        </w:rPr>
        <w:t xml:space="preserve">本项目不专门面向中小企业预留采购份额。</w:t>
      </w:r>
      <w:r/>
    </w:p>
    <w:p>
      <w:pPr>
        <w:ind w:firstLine="480"/>
        <w:spacing w:line="360" w:lineRule="auto"/>
        <w:rPr>
          <w:color w:val="auto"/>
          <w:sz w:val="24"/>
          <w:highlight w:val="none"/>
        </w:rPr>
      </w:pPr>
      <w:r>
        <w:rPr>
          <w:rFonts w:hint="eastAsia" w:ascii="Segoe UI Symbol" w:hAnsi="Segoe UI Symbol"/>
          <w:color w:val="auto"/>
          <w:sz w:val="24"/>
          <w:highlight w:val="none"/>
        </w:rPr>
        <w:t xml:space="preserve">□</w:t>
      </w:r>
      <w:r>
        <w:rPr>
          <w:color w:val="auto"/>
          <w:sz w:val="24"/>
          <w:highlight w:val="none"/>
        </w:rPr>
        <w:t xml:space="preserve">本项目专门面向 </w:t>
      </w:r>
      <w:r>
        <w:rPr>
          <w:rFonts w:hint="eastAsia" w:ascii="Segoe UI Symbol" w:hAnsi="Segoe UI Symbol"/>
          <w:color w:val="auto"/>
          <w:sz w:val="24"/>
          <w:highlight w:val="none"/>
        </w:rPr>
        <w:t xml:space="preserve">□</w:t>
      </w:r>
      <w:r>
        <w:rPr>
          <w:color w:val="auto"/>
          <w:sz w:val="24"/>
          <w:highlight w:val="none"/>
        </w:rPr>
        <w:t xml:space="preserve">中小</w:t>
      </w:r>
      <w:r>
        <w:rPr>
          <w:rFonts w:hint="eastAsia" w:ascii="Segoe UI Symbol" w:hAnsi="Segoe UI Symbol"/>
          <w:color w:val="auto"/>
          <w:sz w:val="24"/>
          <w:highlight w:val="none"/>
        </w:rPr>
        <w:t xml:space="preserve">□</w:t>
      </w:r>
      <w:r>
        <w:rPr>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color w:val="auto"/>
          <w:sz w:val="24"/>
          <w:highlight w:val="none"/>
        </w:rPr>
      </w:pPr>
      <w:r>
        <w:rPr>
          <w:rFonts w:hint="eastAsia" w:ascii="Segoe UI Symbol" w:hAnsi="Segoe UI Symbol"/>
          <w:color w:val="auto"/>
          <w:sz w:val="24"/>
          <w:highlight w:val="none"/>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 其它落实政府采购政策的资格要求（如有）：</w:t>
      </w:r>
      <w:r>
        <w:rPr>
          <w:rFonts w:hint="eastAsia"/>
          <w:color w:val="auto"/>
          <w:sz w:val="24"/>
          <w:highlight w:val="none"/>
          <w:u w:val="single"/>
        </w:rPr>
        <w:t xml:space="preserve">  无  </w:t>
      </w:r>
      <w:r>
        <w:rPr>
          <w:rFonts w:hint="eastAsia"/>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3.1本项目是否接受分支机构参与响应：</w:t>
      </w:r>
      <w:r>
        <w:rPr>
          <w:rFonts w:hint="eastAsia" w:ascii="Segoe UI Symbol" w:hAnsi="Segoe UI Symbol"/>
          <w:color w:val="auto"/>
          <w:sz w:val="24"/>
          <w:highlight w:val="none"/>
        </w:rPr>
        <w:t xml:space="preserve">□</w:t>
      </w:r>
      <w:r>
        <w:rPr>
          <w:color w:val="auto"/>
          <w:sz w:val="24"/>
          <w:highlight w:val="none"/>
        </w:rPr>
        <w:t xml:space="preserve">是   </w:t>
      </w:r>
      <w:r>
        <w:rPr>
          <w:rFonts w:hint="eastAsia"/>
          <w:color w:val="auto"/>
          <w:sz w:val="24"/>
          <w:highlight w:val="none"/>
        </w:rPr>
        <w:t xml:space="preserve">■</w:t>
      </w:r>
      <w:r>
        <w:rPr>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Segoe UI Symbol" w:hAnsi="Segoe UI Symbol"/>
          <w:color w:val="auto"/>
          <w:sz w:val="24"/>
          <w:highlight w:val="none"/>
        </w:rPr>
        <w:t xml:space="preserve">□</w:t>
      </w:r>
      <w:r>
        <w:rPr>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color w:val="auto"/>
          <w:sz w:val="24"/>
          <w:highlight w:val="none"/>
        </w:rPr>
        <w:t xml:space="preserve">■</w:t>
      </w:r>
      <w:r>
        <w:rPr>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3.3其他特定资格要求：</w:t>
      </w:r>
      <w:r>
        <w:rPr>
          <w:rFonts w:hint="eastAsia"/>
          <w:color w:val="auto"/>
          <w:sz w:val="24"/>
          <w:highlight w:val="none"/>
        </w:rPr>
        <w:t xml:space="preserve">供应商须具有有效的甲级城市规划编制资质证书。</w:t>
      </w:r>
      <w:bookmarkEnd w:id="16"/>
      <w:bookmarkEnd w:id="17"/>
      <w:r/>
    </w:p>
    <w:p>
      <w:pPr>
        <w:pStyle w:val="1164"/>
        <w:jc w:val="left"/>
        <w:spacing w:before="0" w:line="360" w:lineRule="auto"/>
        <w:widowControl/>
        <w:rPr>
          <w:rFonts w:ascii="Times New Roman" w:hAnsi="Times New Roman" w:eastAsia="宋体"/>
          <w:color w:val="auto"/>
          <w:sz w:val="24"/>
          <w:szCs w:val="24"/>
          <w:highlight w:val="none"/>
        </w:rPr>
      </w:pPr>
      <w:r/>
      <w:bookmarkStart w:id="18" w:name="_Toc35393623"/>
      <w:r/>
      <w:bookmarkStart w:id="19" w:name="_Toc35393792"/>
      <w:r>
        <w:rPr>
          <w:rFonts w:ascii="Times New Roman" w:hAnsi="Times New Roman" w:eastAsia="宋体"/>
          <w:color w:val="auto"/>
          <w:sz w:val="24"/>
          <w:szCs w:val="24"/>
          <w:highlight w:val="none"/>
        </w:rPr>
        <w:t xml:space="preserve">三、获取采购文件</w:t>
      </w:r>
      <w:bookmarkEnd w:id="18"/>
      <w:r/>
      <w:bookmarkEnd w:id="19"/>
      <w:r/>
      <w:r/>
    </w:p>
    <w:p>
      <w:pPr>
        <w:ind w:firstLine="480"/>
        <w:spacing w:line="360" w:lineRule="auto"/>
        <w:rPr>
          <w:color w:val="auto"/>
          <w:sz w:val="24"/>
          <w:highlight w:val="none"/>
        </w:rPr>
      </w:pPr>
      <w:r>
        <w:rPr>
          <w:color w:val="auto"/>
          <w:sz w:val="24"/>
          <w:highlight w:val="none"/>
        </w:rPr>
        <w:t xml:space="preserve">1.时间：</w:t>
      </w:r>
      <w:r>
        <w:rPr>
          <w:rFonts w:hint="eastAsia"/>
          <w:color w:val="auto"/>
          <w:sz w:val="24"/>
          <w:highlight w:val="none"/>
        </w:rPr>
        <w:t xml:space="preserve">自公告发布之日起</w:t>
      </w:r>
      <w:r>
        <w:rPr>
          <w:rFonts w:hint="eastAsia"/>
          <w:color w:val="auto"/>
          <w:sz w:val="24"/>
          <w:highlight w:val="none"/>
          <w:lang w:val="en-US" w:eastAsia="zh-CN"/>
        </w:rPr>
        <w:t xml:space="preserve">5个工作日</w:t>
      </w:r>
      <w:r>
        <w:rPr>
          <w:rFonts w:hint="eastAsia"/>
          <w:color w:val="auto"/>
          <w:sz w:val="24"/>
          <w:highlight w:val="none"/>
        </w:rPr>
        <w:t xml:space="preserve">（北京时间，法定节假日除外）。</w:t>
      </w:r>
      <w:r/>
    </w:p>
    <w:p>
      <w:pPr>
        <w:ind w:left="479"/>
        <w:spacing w:line="360" w:lineRule="auto"/>
        <w:rPr>
          <w:color w:val="auto"/>
          <w:sz w:val="24"/>
          <w:highlight w:val="none"/>
        </w:rPr>
      </w:pPr>
      <w:r>
        <w:rPr>
          <w:color w:val="auto"/>
          <w:sz w:val="24"/>
          <w:highlight w:val="none"/>
        </w:rPr>
        <w:t xml:space="preserve">2.地点：</w:t>
      </w:r>
      <w:r>
        <w:rPr>
          <w:rFonts w:hint="eastAsia"/>
          <w:color w:val="auto"/>
          <w:sz w:val="24"/>
          <w:highlight w:val="none"/>
        </w:rPr>
        <w:t xml:space="preserve">“苏采云”政府采购一体化平台。</w:t>
      </w:r>
      <w:r/>
    </w:p>
    <w:p>
      <w:pPr>
        <w:ind w:firstLine="480"/>
        <w:spacing w:line="360" w:lineRule="auto"/>
        <w:rPr>
          <w:color w:val="auto"/>
          <w:sz w:val="24"/>
          <w:highlight w:val="none"/>
        </w:rPr>
      </w:pPr>
      <w:r>
        <w:rPr>
          <w:color w:val="auto"/>
          <w:sz w:val="24"/>
          <w:highlight w:val="none"/>
        </w:rPr>
        <w:t xml:space="preserve">3.方式：</w:t>
      </w:r>
      <w:r>
        <w:rPr>
          <w:rFonts w:hint="eastAsia"/>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widowControl/>
        <w:rPr>
          <w:color w:val="auto"/>
          <w:sz w:val="24"/>
          <w:highlight w:val="none"/>
        </w:rPr>
      </w:pPr>
      <w:r>
        <w:rPr>
          <w:color w:val="auto"/>
          <w:sz w:val="24"/>
          <w:highlight w:val="none"/>
        </w:rPr>
        <w:t xml:space="preserve">4.售价：0元。</w:t>
      </w:r>
      <w:r/>
    </w:p>
    <w:p>
      <w:pPr>
        <w:pStyle w:val="1164"/>
        <w:jc w:val="left"/>
        <w:spacing w:before="0" w:line="360" w:lineRule="auto"/>
        <w:widowControl/>
        <w:rPr>
          <w:rFonts w:ascii="Times New Roman" w:hAnsi="Times New Roman" w:eastAsia="宋体"/>
          <w:color w:val="auto"/>
          <w:sz w:val="24"/>
          <w:szCs w:val="24"/>
          <w:highlight w:val="none"/>
        </w:rPr>
      </w:pPr>
      <w:r/>
      <w:bookmarkStart w:id="20" w:name="_Toc28359005"/>
      <w:r/>
      <w:bookmarkStart w:id="21" w:name="_Toc28359082"/>
      <w:r/>
      <w:bookmarkStart w:id="22" w:name="_Toc35393624"/>
      <w:r/>
      <w:bookmarkStart w:id="23" w:name="_Toc35393793"/>
      <w:r>
        <w:rPr>
          <w:rFonts w:ascii="Times New Roman" w:hAnsi="Times New Roman" w:eastAsia="宋体"/>
          <w:color w:val="auto"/>
          <w:sz w:val="24"/>
          <w:szCs w:val="24"/>
          <w:highlight w:val="none"/>
        </w:rPr>
        <w:t xml:space="preserve">四、</w:t>
      </w:r>
      <w:bookmarkEnd w:id="20"/>
      <w:r/>
      <w:bookmarkEnd w:id="21"/>
      <w:r/>
      <w:bookmarkEnd w:id="22"/>
      <w:r/>
      <w:bookmarkEnd w:id="23"/>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rPr>
          <w:color w:val="auto"/>
          <w:sz w:val="24"/>
          <w:highlight w:val="none"/>
        </w:rPr>
        <w:t xml:space="preserve">截止时间：202</w:t>
      </w:r>
      <w:r>
        <w:rPr>
          <w:rFonts w:hint="eastAsia"/>
          <w:color w:val="auto"/>
          <w:sz w:val="24"/>
          <w:highlight w:val="none"/>
        </w:rPr>
        <w:t xml:space="preserve">5</w:t>
      </w:r>
      <w:r>
        <w:rPr>
          <w:color w:val="auto"/>
          <w:sz w:val="24"/>
          <w:highlight w:val="none"/>
        </w:rPr>
        <w:t xml:space="preserve">年</w:t>
      </w:r>
      <w:r>
        <w:rPr>
          <w:rFonts w:hint="eastAsia"/>
          <w:color w:val="auto"/>
          <w:sz w:val="24"/>
          <w:highlight w:val="none"/>
          <w:lang w:val="en-US" w:eastAsia="zh-CN"/>
        </w:rPr>
        <w:t xml:space="preserve">11</w:t>
      </w:r>
      <w:r>
        <w:rPr>
          <w:color w:val="auto"/>
          <w:sz w:val="24"/>
          <w:highlight w:val="none"/>
        </w:rPr>
        <w:t xml:space="preserve">月</w:t>
      </w:r>
      <w:r>
        <w:rPr>
          <w:rFonts w:hint="eastAsia"/>
          <w:color w:val="auto"/>
          <w:sz w:val="24"/>
          <w:highlight w:val="none"/>
          <w:lang w:val="en-US" w:eastAsia="zh-CN"/>
        </w:rPr>
        <w:t xml:space="preserve">24</w:t>
      </w:r>
      <w:r>
        <w:rPr>
          <w:color w:val="auto"/>
          <w:sz w:val="24"/>
          <w:highlight w:val="none"/>
        </w:rPr>
        <w:t xml:space="preserve">日</w:t>
      </w:r>
      <w:r>
        <w:rPr>
          <w:rFonts w:hint="eastAsia"/>
          <w:color w:val="auto"/>
          <w:sz w:val="24"/>
          <w:highlight w:val="none"/>
        </w:rPr>
        <w:t xml:space="preserve">14</w:t>
      </w:r>
      <w:r>
        <w:rPr>
          <w:color w:val="auto"/>
          <w:sz w:val="24"/>
          <w:highlight w:val="none"/>
        </w:rPr>
        <w:t xml:space="preserve">点</w:t>
      </w:r>
      <w:r>
        <w:rPr>
          <w:rFonts w:hint="eastAsia"/>
          <w:color w:val="auto"/>
          <w:sz w:val="24"/>
          <w:highlight w:val="none"/>
        </w:rPr>
        <w:t xml:space="preserve">00</w:t>
      </w:r>
      <w:r>
        <w:rPr>
          <w:color w:val="auto"/>
          <w:sz w:val="24"/>
          <w:highlight w:val="none"/>
        </w:rPr>
        <w:t xml:space="preserve">分</w:t>
      </w:r>
      <w:r>
        <w:rPr>
          <w:bCs/>
          <w:color w:val="auto"/>
          <w:sz w:val="24"/>
          <w:highlight w:val="none"/>
        </w:rPr>
        <w:t xml:space="preserve">（北京时间）</w:t>
      </w:r>
      <w:r>
        <w:rPr>
          <w:iCs/>
          <w:color w:val="auto"/>
          <w:sz w:val="24"/>
          <w:highlight w:val="none"/>
        </w:rPr>
        <w:t xml:space="preserve">。</w:t>
      </w:r>
      <w:r/>
    </w:p>
    <w:p>
      <w:pPr>
        <w:ind w:firstLine="480"/>
        <w:spacing w:line="360" w:lineRule="auto"/>
        <w:rPr>
          <w:rFonts w:ascii="宋体" w:hAnsi="宋体" w:cs="宋体"/>
          <w:color w:val="auto"/>
          <w:sz w:val="24"/>
          <w:highlight w:val="none"/>
          <w:lang w:val="zh-TW"/>
        </w:rPr>
      </w:pPr>
      <w:r>
        <w:rPr>
          <w:color w:val="auto"/>
          <w:sz w:val="24"/>
          <w:highlight w:val="none"/>
        </w:rPr>
        <w:t xml:space="preserve">地点：</w:t>
      </w:r>
      <w:r>
        <w:rPr>
          <w:rFonts w:hint="eastAsia" w:ascii="宋体" w:hAnsi="宋体" w:cs="宋体"/>
          <w:color w:val="auto"/>
          <w:sz w:val="24"/>
          <w:highlight w:val="none"/>
        </w:rPr>
        <w:t xml:space="preserve">本项目采用远程“不见面”交易方式，无需到现场提交，请供应商在提交时间截止前提前登入“苏采云”</w:t>
      </w:r>
      <w:r>
        <w:rPr>
          <w:rFonts w:hint="eastAsia"/>
          <w:color w:val="auto"/>
          <w:sz w:val="24"/>
          <w:highlight w:val="none"/>
        </w:rPr>
        <w:t xml:space="preserve">政府采购一体化平台</w:t>
      </w:r>
      <w:r>
        <w:rPr>
          <w:rFonts w:hint="eastAsia" w:ascii="宋体" w:hAnsi="宋体" w:cs="宋体"/>
          <w:color w:val="auto"/>
          <w:sz w:val="24"/>
          <w:highlight w:val="none"/>
        </w:rPr>
        <w:t xml:space="preserve">通过系统在线提交电子磋商响应文件。</w:t>
      </w:r>
      <w:r/>
    </w:p>
    <w:p>
      <w:pPr>
        <w:pStyle w:val="1164"/>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color w:val="auto"/>
          <w:sz w:val="24"/>
          <w:highlight w:val="none"/>
        </w:rPr>
        <w:t xml:space="preserve">时间：202</w:t>
      </w:r>
      <w:r>
        <w:rPr>
          <w:rFonts w:hint="eastAsia"/>
          <w:color w:val="auto"/>
          <w:sz w:val="24"/>
          <w:highlight w:val="none"/>
        </w:rPr>
        <w:t xml:space="preserve">5</w:t>
      </w:r>
      <w:r>
        <w:rPr>
          <w:color w:val="auto"/>
          <w:sz w:val="24"/>
          <w:highlight w:val="none"/>
        </w:rPr>
        <w:t xml:space="preserve">年</w:t>
      </w:r>
      <w:r>
        <w:rPr>
          <w:rFonts w:hint="eastAsia"/>
          <w:color w:val="auto"/>
          <w:sz w:val="24"/>
          <w:highlight w:val="none"/>
          <w:lang w:val="en-US" w:eastAsia="zh-CN"/>
        </w:rPr>
        <w:t xml:space="preserve">11</w:t>
      </w:r>
      <w:r>
        <w:rPr>
          <w:color w:val="auto"/>
          <w:sz w:val="24"/>
          <w:highlight w:val="none"/>
        </w:rPr>
        <w:t xml:space="preserve">月</w:t>
      </w:r>
      <w:r>
        <w:rPr>
          <w:rFonts w:hint="eastAsia"/>
          <w:color w:val="auto"/>
          <w:sz w:val="24"/>
          <w:highlight w:val="none"/>
          <w:lang w:val="en-US" w:eastAsia="zh-CN"/>
        </w:rPr>
        <w:t xml:space="preserve">24</w:t>
      </w:r>
      <w:r>
        <w:rPr>
          <w:color w:val="auto"/>
          <w:sz w:val="24"/>
          <w:highlight w:val="none"/>
        </w:rPr>
        <w:t xml:space="preserve">日</w:t>
      </w:r>
      <w:r>
        <w:rPr>
          <w:rFonts w:hint="eastAsia"/>
          <w:color w:val="auto"/>
          <w:sz w:val="24"/>
          <w:highlight w:val="none"/>
        </w:rPr>
        <w:t xml:space="preserve">14</w:t>
      </w:r>
      <w:r>
        <w:rPr>
          <w:color w:val="auto"/>
          <w:sz w:val="24"/>
          <w:highlight w:val="none"/>
        </w:rPr>
        <w:t xml:space="preserve">点</w:t>
      </w:r>
      <w:r>
        <w:rPr>
          <w:rFonts w:hint="eastAsia"/>
          <w:color w:val="auto"/>
          <w:sz w:val="24"/>
          <w:highlight w:val="none"/>
        </w:rPr>
        <w:t xml:space="preserve">00</w:t>
      </w:r>
      <w:r>
        <w:rPr>
          <w:color w:val="auto"/>
          <w:sz w:val="24"/>
          <w:highlight w:val="none"/>
        </w:rPr>
        <w:t xml:space="preserve">分</w:t>
      </w:r>
      <w:r>
        <w:rPr>
          <w:bCs/>
          <w:color w:val="auto"/>
          <w:sz w:val="24"/>
          <w:highlight w:val="none"/>
        </w:rPr>
        <w:t xml:space="preserve">（北京时间）</w:t>
      </w:r>
      <w:r>
        <w:rPr>
          <w:iCs/>
          <w:color w:val="auto"/>
          <w:sz w:val="24"/>
          <w:highlight w:val="none"/>
        </w:rPr>
        <w:t xml:space="preserve">。</w:t>
      </w:r>
      <w:r/>
    </w:p>
    <w:p>
      <w:pPr>
        <w:ind w:firstLine="480"/>
        <w:spacing w:line="360" w:lineRule="auto"/>
        <w:rPr>
          <w:bCs/>
          <w:color w:val="auto"/>
          <w:sz w:val="24"/>
          <w:highlight w:val="none"/>
        </w:rPr>
      </w:pPr>
      <w:r>
        <w:rPr>
          <w:color w:val="auto"/>
          <w:sz w:val="24"/>
          <w:highlight w:val="none"/>
        </w:rPr>
        <w:t xml:space="preserve">地点：</w:t>
      </w:r>
      <w:r>
        <w:rPr>
          <w:rFonts w:hint="eastAsia"/>
          <w:color w:val="auto"/>
          <w:sz w:val="24"/>
          <w:highlight w:val="none"/>
        </w:rPr>
        <w:t xml:space="preserve">本项目采用远程“不见面”交易方式，无需到现场提交，请供应商在开启时间截止前提前登入“苏采云”政府采购一体化平台，供应商自行选择互联网连接畅通的场地，在规定的时间内进行解密开启（系统语音提示允许解密后，供应商30分钟内完成解密，否则视为该供应商自动放弃该项目的响应，其响应文件采购人不予受理）。</w:t>
      </w:r>
      <w:r/>
    </w:p>
    <w:p>
      <w:pPr>
        <w:pStyle w:val="1164"/>
        <w:jc w:val="left"/>
        <w:spacing w:before="0" w:line="360" w:lineRule="auto"/>
        <w:rPr>
          <w:rFonts w:ascii="Times New Roman" w:hAnsi="Times New Roman" w:eastAsia="宋体"/>
          <w:color w:val="auto"/>
          <w:sz w:val="24"/>
          <w:szCs w:val="24"/>
          <w:highlight w:val="none"/>
        </w:rPr>
      </w:pPr>
      <w:r/>
      <w:bookmarkStart w:id="24" w:name="_Toc35393794"/>
      <w:r/>
      <w:bookmarkStart w:id="25" w:name="_Toc28359084"/>
      <w:r/>
      <w:bookmarkStart w:id="26" w:name="_Toc28359007"/>
      <w:r/>
      <w:bookmarkStart w:id="27" w:name="_Toc35393625"/>
      <w:r>
        <w:rPr>
          <w:rFonts w:ascii="Times New Roman" w:hAnsi="Times New Roman" w:eastAsia="宋体"/>
          <w:color w:val="auto"/>
          <w:sz w:val="24"/>
          <w:szCs w:val="24"/>
          <w:highlight w:val="none"/>
        </w:rPr>
        <w:t xml:space="preserve">六、公告期限</w:t>
      </w:r>
      <w:bookmarkEnd w:id="24"/>
      <w:r/>
      <w:bookmarkEnd w:id="25"/>
      <w:r/>
      <w:bookmarkEnd w:id="26"/>
      <w:r/>
      <w:bookmarkEnd w:id="27"/>
      <w:r/>
      <w:r/>
    </w:p>
    <w:p>
      <w:pPr>
        <w:ind w:firstLine="480"/>
        <w:spacing w:line="360" w:lineRule="auto"/>
        <w:rPr>
          <w:color w:val="auto"/>
          <w:sz w:val="24"/>
          <w:highlight w:val="none"/>
        </w:rPr>
      </w:pPr>
      <w:r>
        <w:rPr>
          <w:color w:val="auto"/>
          <w:sz w:val="24"/>
          <w:highlight w:val="none"/>
        </w:rPr>
        <w:t xml:space="preserve">自本公告发布之日起3个工作日。</w:t>
      </w:r>
      <w:r/>
    </w:p>
    <w:p>
      <w:pPr>
        <w:pStyle w:val="1164"/>
        <w:jc w:val="left"/>
        <w:spacing w:before="0" w:line="360" w:lineRule="auto"/>
        <w:rPr>
          <w:rFonts w:ascii="Times New Roman" w:hAnsi="Times New Roman" w:eastAsia="宋体"/>
          <w:color w:val="auto"/>
          <w:sz w:val="24"/>
          <w:szCs w:val="24"/>
          <w:highlight w:val="none"/>
        </w:rPr>
      </w:pPr>
      <w:r/>
      <w:bookmarkStart w:id="28" w:name="_Toc35393626"/>
      <w:r/>
      <w:bookmarkStart w:id="29" w:name="_Toc35393795"/>
      <w:r>
        <w:rPr>
          <w:rFonts w:ascii="Times New Roman" w:hAnsi="Times New Roman" w:eastAsia="宋体"/>
          <w:color w:val="auto"/>
          <w:sz w:val="24"/>
          <w:szCs w:val="24"/>
          <w:highlight w:val="none"/>
        </w:rPr>
        <w:t xml:space="preserve">七、其他补充事宜</w:t>
      </w:r>
      <w:bookmarkEnd w:id="28"/>
      <w:r/>
      <w:bookmarkEnd w:id="29"/>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1.本项目需要落实的政府采购政策：</w:t>
      </w:r>
      <w:r>
        <w:rPr>
          <w:rFonts w:hint="eastAsia" w:ascii="宋体" w:hAnsi="宋体"/>
          <w:color w:val="auto"/>
          <w:sz w:val="24"/>
          <w:highlight w:val="none"/>
        </w:rPr>
        <w:t xml:space="preserve">无</w:t>
      </w:r>
      <w:r>
        <w:rPr>
          <w:rFonts w:ascii="宋体" w:hAnsi="宋体"/>
          <w:color w:val="auto"/>
          <w:sz w:val="24"/>
          <w:highlight w:val="none"/>
        </w:rPr>
        <w:t xml:space="preserve">。</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根据省财政厅《关于更换全省政府采购交易系统CA数字证书和电子签章的通知》（苏财购〔2023〕101号），“苏采云”政府采购一体化平台系统（以下简称苏采云系统）的CA数字证书、电子签章已更换为江苏省电子政务证书认证中心CA和方正国际软件（北京）有限公司电子签章。如果供应商通过“苏采云”平台系统参与政府采购项目，需要更换CA数字证书和电子签章。</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ascii="宋体" w:hAnsi="宋体"/>
          <w:bCs/>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color w:val="auto"/>
          <w:sz w:val="24"/>
          <w:highlight w:val="none"/>
        </w:rPr>
        <w:t xml:space="preserve">本项目采用全流程电子化采购方式</w:t>
      </w:r>
      <w:r>
        <w:rPr>
          <w:rFonts w:ascii="宋体" w:hAnsi="宋体"/>
          <w:color w:val="auto"/>
          <w:sz w:val="24"/>
          <w:highlight w:val="none"/>
        </w:rPr>
        <w:t xml:space="preserve">，请供应商认真学习</w:t>
      </w:r>
      <w:r>
        <w:rPr>
          <w:rFonts w:hint="eastAsia"/>
          <w:color w:val="auto"/>
          <w:sz w:val="24"/>
          <w:highlight w:val="none"/>
        </w:rPr>
        <w:t xml:space="preserve">“苏采云”政府采购一体化平台</w:t>
      </w:r>
      <w:r>
        <w:rPr>
          <w:rFonts w:ascii="宋体" w:hAnsi="宋体"/>
          <w:color w:val="auto"/>
          <w:sz w:val="24"/>
          <w:highlight w:val="none"/>
        </w:rPr>
        <w:t xml:space="preserve">发布的相关操作手册，办理CA认证证书、进行</w:t>
      </w:r>
      <w:r>
        <w:rPr>
          <w:rFonts w:hint="eastAsia" w:ascii="宋体" w:hAnsi="宋体"/>
          <w:color w:val="auto"/>
          <w:sz w:val="24"/>
          <w:highlight w:val="none"/>
        </w:rPr>
        <w:t xml:space="preserve">“</w:t>
      </w:r>
      <w:r>
        <w:rPr>
          <w:rFonts w:ascii="宋体" w:hAnsi="宋体"/>
          <w:color w:val="auto"/>
          <w:sz w:val="24"/>
          <w:highlight w:val="none"/>
        </w:rPr>
        <w:t xml:space="preserve">苏采云”</w:t>
      </w:r>
      <w:r>
        <w:rPr>
          <w:rFonts w:hint="eastAsia" w:ascii="宋体" w:hAnsi="宋体"/>
          <w:color w:val="auto"/>
          <w:sz w:val="24"/>
          <w:highlight w:val="none"/>
        </w:rPr>
        <w:t xml:space="preserve">政府采购一体化平台</w:t>
      </w:r>
      <w:r>
        <w:rPr>
          <w:rFonts w:ascii="宋体" w:hAnsi="宋体"/>
          <w:color w:val="auto"/>
          <w:sz w:val="24"/>
          <w:highlight w:val="none"/>
        </w:rPr>
        <w:t xml:space="preserve">注册绑定，并认真核实</w:t>
      </w:r>
      <w:r>
        <w:rPr>
          <w:rFonts w:ascii="宋体" w:hAnsi="宋体"/>
          <w:bCs/>
          <w:color w:val="auto"/>
          <w:sz w:val="24"/>
          <w:highlight w:val="none"/>
        </w:rPr>
        <w:t xml:space="preserve">数字认证证书情况确认是否符合本项目电子化采购流程要求。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技术支持服务热线    0519-85588210  0519-85588163</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CA认证证书办理（可邮寄）联系电话   0519-85588120</w:t>
      </w:r>
      <w:r/>
    </w:p>
    <w:p>
      <w:pPr>
        <w:ind w:firstLine="480"/>
        <w:spacing w:line="360" w:lineRule="auto"/>
        <w:rPr>
          <w:rFonts w:ascii="宋体" w:hAnsi="宋体"/>
          <w:color w:val="auto"/>
          <w:sz w:val="24"/>
          <w:highlight w:val="none"/>
          <w:lang w:val="zh-TW"/>
        </w:rPr>
      </w:pPr>
      <w:r>
        <w:rPr>
          <w:rFonts w:hint="eastAsia" w:ascii="宋体" w:hAnsi="宋体"/>
          <w:color w:val="auto"/>
          <w:sz w:val="24"/>
          <w:highlight w:val="none"/>
        </w:rPr>
        <w:t xml:space="preserve">5</w:t>
      </w:r>
      <w:r>
        <w:rPr>
          <w:rFonts w:hint="eastAsia" w:ascii="宋体" w:hAnsi="宋体"/>
          <w:color w:val="auto"/>
          <w:sz w:val="24"/>
          <w:highlight w:val="none"/>
          <w:lang w:val="zh-TW"/>
        </w:rPr>
        <w:t xml:space="preserve">.关于常州市中小企业政府采购信用融资：</w:t>
      </w:r>
      <w:r/>
    </w:p>
    <w:p>
      <w:pPr>
        <w:ind w:firstLine="480"/>
        <w:spacing w:line="360" w:lineRule="auto"/>
        <w:rPr>
          <w:rFonts w:ascii="宋体" w:hAnsi="宋体"/>
          <w:color w:val="auto"/>
          <w:sz w:val="24"/>
          <w:highlight w:val="none"/>
          <w:lang w:val="zh-TW"/>
        </w:rPr>
      </w:pPr>
      <w:r>
        <w:rPr>
          <w:rFonts w:hint="eastAsia" w:ascii="宋体" w:hAnsi="宋体"/>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164"/>
        <w:jc w:val="left"/>
        <w:spacing w:before="0" w:line="360" w:lineRule="auto"/>
        <w:rPr>
          <w:rFonts w:ascii="Times New Roman" w:hAnsi="Times New Roman" w:eastAsia="宋体"/>
          <w:color w:val="auto"/>
          <w:sz w:val="24"/>
          <w:szCs w:val="24"/>
          <w:highlight w:val="none"/>
        </w:rPr>
      </w:pPr>
      <w:r/>
      <w:bookmarkStart w:id="30" w:name="_Toc35393796"/>
      <w:r/>
      <w:bookmarkStart w:id="31" w:name="_Toc28359008"/>
      <w:r/>
      <w:bookmarkStart w:id="32" w:name="_Toc35393627"/>
      <w:r/>
      <w:bookmarkStart w:id="33" w:name="_Toc28359085"/>
      <w:r>
        <w:rPr>
          <w:rFonts w:ascii="Times New Roman" w:hAnsi="Times New Roman" w:eastAsia="宋体"/>
          <w:color w:val="auto"/>
          <w:sz w:val="24"/>
          <w:szCs w:val="24"/>
          <w:highlight w:val="none"/>
        </w:rPr>
        <w:t xml:space="preserve">八、对本项目提出询问，请按以下方式联系。</w:t>
      </w:r>
      <w:bookmarkEnd w:id="30"/>
      <w:r/>
      <w:bookmarkEnd w:id="31"/>
      <w:r/>
      <w:bookmarkEnd w:id="32"/>
      <w:r/>
      <w:bookmarkEnd w:id="33"/>
      <w:r/>
      <w:r/>
    </w:p>
    <w:p>
      <w:pPr>
        <w:ind w:left="854" w:hanging="434"/>
        <w:jc w:val="left"/>
        <w:spacing w:line="360" w:lineRule="auto"/>
        <w:rPr>
          <w:b/>
          <w:color w:val="auto"/>
          <w:sz w:val="24"/>
          <w:highlight w:val="none"/>
        </w:rPr>
      </w:pPr>
      <w:r>
        <w:rPr>
          <w:b/>
          <w:color w:val="auto"/>
          <w:sz w:val="24"/>
          <w:highlight w:val="none"/>
        </w:rPr>
        <w:t xml:space="preserve">1.采购人信息</w:t>
      </w:r>
      <w:r/>
    </w:p>
    <w:p>
      <w:pPr>
        <w:ind w:left="852" w:hanging="432"/>
        <w:jc w:val="left"/>
        <w:spacing w:line="360" w:lineRule="auto"/>
        <w:rPr>
          <w:color w:val="auto"/>
          <w:sz w:val="24"/>
          <w:highlight w:val="none"/>
        </w:rPr>
      </w:pPr>
      <w:r/>
      <w:bookmarkStart w:id="34" w:name="_Toc28359086"/>
      <w:r/>
      <w:bookmarkStart w:id="35" w:name="_Toc28359009"/>
      <w:r>
        <w:rPr>
          <w:rFonts w:hint="eastAsia"/>
          <w:color w:val="auto"/>
          <w:sz w:val="24"/>
          <w:highlight w:val="none"/>
        </w:rPr>
        <w:t xml:space="preserve">名  称：常州市钟楼区人民政府办公室</w:t>
      </w:r>
      <w:r/>
    </w:p>
    <w:p>
      <w:pPr>
        <w:ind w:left="852" w:hanging="432"/>
        <w:jc w:val="left"/>
        <w:spacing w:line="360" w:lineRule="auto"/>
        <w:rPr>
          <w:color w:val="auto"/>
          <w:sz w:val="24"/>
          <w:highlight w:val="none"/>
        </w:rPr>
      </w:pPr>
      <w:r>
        <w:rPr>
          <w:rFonts w:hint="eastAsia"/>
          <w:color w:val="auto"/>
          <w:sz w:val="24"/>
          <w:highlight w:val="none"/>
        </w:rPr>
        <w:t xml:space="preserve">地址：常州市钟楼区景尚路3号</w:t>
      </w:r>
      <w:r/>
    </w:p>
    <w:p>
      <w:pPr>
        <w:ind w:left="852" w:hanging="432"/>
        <w:jc w:val="left"/>
        <w:spacing w:line="360" w:lineRule="auto"/>
        <w:rPr>
          <w:color w:val="auto"/>
          <w:sz w:val="24"/>
          <w:highlight w:val="none"/>
        </w:rPr>
      </w:pPr>
      <w:r>
        <w:rPr>
          <w:rFonts w:hint="eastAsia"/>
          <w:color w:val="auto"/>
          <w:sz w:val="24"/>
          <w:highlight w:val="none"/>
        </w:rPr>
        <w:t xml:space="preserve">联系人：胡先生</w:t>
      </w:r>
      <w:r/>
    </w:p>
    <w:p>
      <w:pPr>
        <w:ind w:left="852" w:hanging="432"/>
        <w:jc w:val="left"/>
        <w:spacing w:line="360" w:lineRule="auto"/>
        <w:rPr>
          <w:color w:val="auto"/>
          <w:sz w:val="24"/>
          <w:highlight w:val="none"/>
          <w:lang w:val="en"/>
        </w:rPr>
      </w:pPr>
      <w:r>
        <w:rPr>
          <w:rFonts w:hint="eastAsia"/>
          <w:color w:val="auto"/>
          <w:sz w:val="24"/>
          <w:highlight w:val="none"/>
        </w:rPr>
        <w:t xml:space="preserve">电 话：0519-87025815</w:t>
      </w:r>
      <w:r/>
    </w:p>
    <w:p>
      <w:pPr>
        <w:ind w:left="854" w:hanging="434"/>
        <w:jc w:val="left"/>
        <w:spacing w:line="360" w:lineRule="auto"/>
        <w:rPr>
          <w:b/>
          <w:color w:val="auto"/>
          <w:sz w:val="24"/>
          <w:highlight w:val="none"/>
        </w:rPr>
      </w:pPr>
      <w:r>
        <w:rPr>
          <w:b/>
          <w:color w:val="auto"/>
          <w:sz w:val="24"/>
          <w:highlight w:val="none"/>
        </w:rPr>
        <w:t xml:space="preserve">2.采购代理机构信息</w:t>
      </w:r>
      <w:bookmarkEnd w:id="34"/>
      <w:r/>
      <w:bookmarkEnd w:id="35"/>
      <w:r/>
      <w:r/>
    </w:p>
    <w:p>
      <w:pPr>
        <w:ind w:left="852" w:hanging="432"/>
        <w:jc w:val="left"/>
        <w:spacing w:line="360" w:lineRule="auto"/>
        <w:rPr>
          <w:color w:val="auto"/>
          <w:sz w:val="24"/>
          <w:highlight w:val="none"/>
        </w:rPr>
      </w:pPr>
      <w:r/>
      <w:bookmarkStart w:id="36" w:name="_Toc28359087"/>
      <w:r/>
      <w:bookmarkStart w:id="37" w:name="_Toc28359010"/>
      <w:r>
        <w:rPr>
          <w:color w:val="auto"/>
          <w:sz w:val="24"/>
          <w:highlight w:val="none"/>
        </w:rPr>
        <w:t xml:space="preserve">名  称：</w:t>
      </w:r>
      <w:r>
        <w:rPr>
          <w:rFonts w:hint="eastAsia"/>
          <w:color w:val="auto"/>
          <w:sz w:val="24"/>
          <w:highlight w:val="none"/>
        </w:rPr>
        <w:t xml:space="preserve">常州盈泰招标有限公司</w:t>
      </w:r>
      <w:r/>
    </w:p>
    <w:p>
      <w:pPr>
        <w:ind w:left="852" w:hanging="432"/>
        <w:jc w:val="left"/>
        <w:spacing w:line="360" w:lineRule="auto"/>
        <w:rPr>
          <w:color w:val="auto"/>
          <w:sz w:val="24"/>
          <w:highlight w:val="none"/>
        </w:rPr>
      </w:pPr>
      <w:r>
        <w:rPr>
          <w:color w:val="auto"/>
          <w:sz w:val="24"/>
          <w:highlight w:val="none"/>
        </w:rPr>
        <w:t xml:space="preserve">地  址：</w:t>
      </w:r>
      <w:r>
        <w:rPr>
          <w:rFonts w:hint="eastAsia"/>
          <w:color w:val="auto"/>
          <w:sz w:val="24"/>
          <w:highlight w:val="none"/>
        </w:rPr>
        <w:t xml:space="preserve">常州市新北区太湖中路8号锦湖创新中心A座11楼</w:t>
      </w:r>
      <w:r/>
    </w:p>
    <w:p>
      <w:pPr>
        <w:ind w:left="852" w:hanging="432"/>
        <w:jc w:val="left"/>
        <w:spacing w:line="360" w:lineRule="auto"/>
        <w:rPr>
          <w:color w:val="auto"/>
          <w:sz w:val="24"/>
          <w:highlight w:val="none"/>
        </w:rPr>
      </w:pPr>
      <w:r>
        <w:rPr>
          <w:color w:val="auto"/>
          <w:sz w:val="24"/>
          <w:highlight w:val="none"/>
        </w:rPr>
        <w:t xml:space="preserve">联系方式：</w:t>
      </w:r>
      <w:r>
        <w:rPr>
          <w:rFonts w:hint="eastAsia"/>
          <w:color w:val="auto"/>
          <w:sz w:val="24"/>
          <w:highlight w:val="none"/>
        </w:rPr>
        <w:t xml:space="preserve">0519-89853339</w:t>
      </w:r>
      <w:r/>
    </w:p>
    <w:p>
      <w:pPr>
        <w:ind w:left="854" w:hanging="434"/>
        <w:spacing w:line="360" w:lineRule="auto"/>
        <w:rPr>
          <w:b/>
          <w:color w:val="auto"/>
          <w:sz w:val="24"/>
          <w:highlight w:val="none"/>
          <w:u w:val="single"/>
        </w:rPr>
      </w:pPr>
      <w:r>
        <w:rPr>
          <w:b/>
          <w:color w:val="auto"/>
          <w:sz w:val="24"/>
          <w:highlight w:val="none"/>
        </w:rPr>
        <w:t xml:space="preserve">3.项目联系方式</w:t>
      </w:r>
      <w:bookmarkEnd w:id="36"/>
      <w:r/>
      <w:bookmarkEnd w:id="37"/>
      <w:r/>
      <w:r/>
    </w:p>
    <w:p>
      <w:pPr>
        <w:ind w:left="852" w:hanging="432"/>
        <w:spacing w:line="360" w:lineRule="auto"/>
        <w:rPr>
          <w:rFonts w:ascii="宋体" w:hAnsi="Courier New"/>
          <w:color w:val="auto"/>
          <w:sz w:val="24"/>
          <w:szCs w:val="20"/>
          <w:highlight w:val="none"/>
        </w:rPr>
      </w:pPr>
      <w:r>
        <w:rPr>
          <w:color w:val="auto"/>
          <w:sz w:val="24"/>
          <w:highlight w:val="none"/>
        </w:rPr>
        <w:t xml:space="preserve">项目联系人：</w:t>
      </w:r>
      <w:r>
        <w:rPr>
          <w:rFonts w:hint="eastAsia"/>
          <w:color w:val="auto"/>
          <w:sz w:val="24"/>
          <w:highlight w:val="none"/>
        </w:rPr>
        <w:t xml:space="preserve">周</w:t>
      </w:r>
      <w:r>
        <w:rPr>
          <w:rFonts w:hint="eastAsia" w:ascii="宋体" w:hAnsi="Courier New"/>
          <w:color w:val="auto"/>
          <w:sz w:val="24"/>
          <w:szCs w:val="20"/>
          <w:highlight w:val="none"/>
        </w:rPr>
        <w:t xml:space="preserve">女士      </w:t>
      </w:r>
      <w:r/>
    </w:p>
    <w:p>
      <w:pPr>
        <w:ind w:left="852" w:hanging="432"/>
        <w:jc w:val="left"/>
        <w:spacing w:line="360" w:lineRule="auto"/>
        <w:rPr>
          <w:color w:val="auto"/>
          <w:sz w:val="24"/>
          <w:highlight w:val="none"/>
        </w:rPr>
      </w:pPr>
      <w:r>
        <w:rPr>
          <w:color w:val="auto"/>
          <w:sz w:val="24"/>
          <w:highlight w:val="none"/>
        </w:rPr>
        <w:t xml:space="preserve">电  话：</w:t>
      </w:r>
      <w:r>
        <w:rPr>
          <w:rFonts w:hint="eastAsia"/>
          <w:color w:val="auto"/>
          <w:sz w:val="24"/>
          <w:highlight w:val="none"/>
        </w:rPr>
        <w:t xml:space="preserve">0519-89853339</w:t>
      </w:r>
      <w:r/>
    </w:p>
    <w:p>
      <w:pPr>
        <w:ind w:left="852" w:hanging="432"/>
        <w:jc w:val="left"/>
        <w:spacing w:line="360" w:lineRule="auto"/>
        <w:rPr>
          <w:color w:val="auto"/>
          <w:sz w:val="24"/>
          <w:highlight w:val="none"/>
        </w:rPr>
      </w:pPr>
      <w:r>
        <w:rPr>
          <w:color w:val="auto"/>
          <w:sz w:val="24"/>
          <w:highlight w:val="none"/>
        </w:rPr>
      </w:r>
      <w:r/>
    </w:p>
    <w:p>
      <w:pPr>
        <w:ind w:left="852" w:hanging="432"/>
        <w:jc w:val="left"/>
        <w:spacing w:line="360" w:lineRule="auto"/>
        <w:rPr>
          <w:color w:val="auto"/>
          <w:sz w:val="24"/>
          <w:highlight w:val="none"/>
        </w:rPr>
      </w:pPr>
      <w:r>
        <w:rPr>
          <w:rFonts w:hint="eastAsia"/>
          <w:color w:val="auto"/>
          <w:sz w:val="24"/>
          <w:highlight w:val="none"/>
        </w:rPr>
        <w:t xml:space="preserve">注：以上个人信息，由于工作需要经机构或本人同意对外公布。</w:t>
      </w:r>
      <w:r/>
    </w:p>
    <w:p>
      <w:pPr>
        <w:jc w:val="center"/>
        <w:spacing w:line="360" w:lineRule="auto"/>
        <w:rPr>
          <w:b/>
          <w:color w:val="auto"/>
          <w:sz w:val="32"/>
          <w:szCs w:val="32"/>
          <w:highlight w:val="none"/>
        </w:rPr>
        <w:outlineLvl w:val="0"/>
      </w:pPr>
      <w:r>
        <w:rPr>
          <w:color w:val="auto"/>
          <w:sz w:val="24"/>
          <w:highlight w:val="none"/>
        </w:rPr>
        <w:br w:type="page" w:clear="all"/>
      </w:r>
      <w:bookmarkStart w:id="38" w:name="_Toc353873938"/>
      <w:r/>
      <w:bookmarkStart w:id="39" w:name="_Toc305158854"/>
      <w:r/>
      <w:bookmarkStart w:id="40" w:name="_Toc265228423"/>
      <w:r/>
      <w:bookmarkStart w:id="41" w:name="_Toc305158928"/>
      <w:r/>
      <w:bookmarkStart w:id="42" w:name="_Toc195842950"/>
      <w:r/>
      <w:bookmarkStart w:id="43" w:name="_Toc512937850"/>
      <w:r/>
      <w:bookmarkStart w:id="44" w:name="_Toc226965856"/>
      <w:r/>
      <w:bookmarkStart w:id="45" w:name="_Toc150774783"/>
      <w:r/>
      <w:bookmarkStart w:id="46" w:name="_Toc264969275"/>
      <w:r/>
      <w:bookmarkStart w:id="47" w:name="_Toc353825548"/>
      <w:r/>
      <w:bookmarkStart w:id="48" w:name="_Toc127151777"/>
      <w:r/>
      <w:bookmarkStart w:id="49" w:name="_Toc9029"/>
      <w:r/>
      <w:bookmarkStart w:id="50" w:name="_Toc127161488"/>
      <w:r>
        <w:rPr>
          <w:b/>
          <w:color w:val="auto"/>
          <w:sz w:val="36"/>
          <w:szCs w:val="36"/>
          <w:highlight w:val="none"/>
        </w:rPr>
        <w:t xml:space="preserve">第二章   供应商须知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1164"/>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51" w:name="_Toc149720812"/>
      <w:r/>
      <w:bookmarkStart w:id="52" w:name="_Toc150774619"/>
      <w:r/>
      <w:bookmarkStart w:id="53" w:name="_Toc151190146"/>
      <w:r/>
      <w:bookmarkStart w:id="54" w:name="_Toc151193689"/>
      <w:r/>
      <w:bookmarkStart w:id="55" w:name="_Toc164608788"/>
      <w:r/>
      <w:bookmarkStart w:id="56" w:name="_Toc226965792"/>
      <w:r/>
      <w:bookmarkStart w:id="57" w:name="_Toc127151519"/>
      <w:r/>
      <w:bookmarkStart w:id="58" w:name="_Toc226309763"/>
      <w:r/>
      <w:bookmarkStart w:id="59" w:name="_Toc164608633"/>
      <w:r/>
      <w:bookmarkStart w:id="60" w:name="_Toc127161433"/>
      <w:r/>
      <w:bookmarkStart w:id="61" w:name="_Toc164229360"/>
      <w:r/>
      <w:bookmarkStart w:id="62" w:name="_Toc151193833"/>
      <w:r/>
      <w:bookmarkStart w:id="63" w:name="_Toc151193907"/>
      <w:r/>
      <w:bookmarkStart w:id="64" w:name="_Toc195842884"/>
      <w:r/>
      <w:bookmarkStart w:id="65" w:name="_Toc520356144"/>
      <w:r/>
      <w:bookmarkStart w:id="66" w:name="_Toc151193761"/>
      <w:r/>
      <w:bookmarkStart w:id="67" w:name="_Toc150509270"/>
      <w:r/>
      <w:bookmarkStart w:id="68" w:name="_Toc142311021"/>
      <w:r/>
      <w:bookmarkStart w:id="69" w:name="_Toc164351613"/>
      <w:r/>
      <w:bookmarkStart w:id="70" w:name="_Toc226965709"/>
      <w:r/>
      <w:bookmarkStart w:id="71" w:name="_Toc226337215"/>
      <w:r/>
      <w:bookmarkStart w:id="72" w:name="_Toc164229214"/>
      <w:r/>
      <w:bookmarkStart w:id="73" w:name="_Toc150480757"/>
      <w:r/>
      <w:bookmarkStart w:id="74" w:name="_Toc150774724"/>
      <w:r/>
      <w:bookmarkStart w:id="75" w:name="_Toc127151720"/>
      <w:r/>
      <w:bookmarkStart w:id="76" w:name="_Toc151193617"/>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983"/>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服务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cantSplit/>
          <w:jc w:val="center"/>
          <w:trHeight w:val="20"/>
        </w:trPr>
        <w:tc>
          <w:tcPr>
            <w:tcW w:w="988" w:type="dxa"/>
            <w:vAlign w:val="center"/>
            <w:vMerge w:val="restart"/>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组织，考察时间：___年___月___日___点___分</w:t>
            </w:r>
            <w:r/>
          </w:p>
          <w:p>
            <w:pPr>
              <w:pStyle w:val="1198"/>
              <w:rPr>
                <w:rFonts w:hint="default" w:ascii="Times New Roman" w:hAnsi="Times New Roman"/>
                <w:color w:val="auto"/>
                <w:sz w:val="24"/>
                <w:szCs w:val="24"/>
                <w:highlight w:val="none"/>
              </w:rPr>
            </w:pPr>
            <w:r>
              <w:rPr>
                <w:rFonts w:ascii="Times New Roman" w:hAnsi="Times New Roman"/>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98"/>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召开，召开时间：___年___月___日___点___分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583"/>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rFonts w:ascii="宋体" w:hAnsi="宋体" w:cs="宋体"/>
                <w:b/>
                <w:bCs/>
                <w:color w:val="auto"/>
                <w:sz w:val="24"/>
                <w:highlight w:val="none"/>
                <w:u w:val="single"/>
              </w:rPr>
            </w:pPr>
            <w:r>
              <w:rPr>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其他未列明行</w:t>
            </w:r>
            <w:r/>
          </w:p>
          <w:p>
            <w:pPr>
              <w:jc w:val="left"/>
              <w:rPr>
                <w:color w:val="auto"/>
                <w:sz w:val="24"/>
                <w:highlight w:val="none"/>
              </w:rPr>
            </w:pPr>
            <w:r>
              <w:rPr>
                <w:rFonts w:hint="eastAsia" w:ascii="宋体" w:hAnsi="宋体" w:cs="宋体"/>
                <w:b/>
                <w:bCs/>
                <w:color w:val="auto"/>
                <w:sz w:val="24"/>
                <w:highlight w:val="none"/>
                <w:u w:val="single"/>
              </w:rPr>
              <w:t xml:space="preserve">业：</w:t>
            </w:r>
            <w:r>
              <w:rPr>
                <w:rFonts w:hint="eastAsia" w:ascii="宋体" w:hAnsi="宋体" w:cs="宋体"/>
                <w:color w:val="auto"/>
                <w:sz w:val="24"/>
                <w:highlight w:val="none"/>
                <w:u w:val="single"/>
              </w:rPr>
              <w:t xml:space="preserve">从业人员 300 人以下的为中小微型企业。其中，从业人员 100 人及以上的为中型企业；从业人员 10 人及以上的为小型企业；从业人员 10 人以下的为微型企业。</w:t>
            </w:r>
            <w:r/>
          </w:p>
        </w:tc>
      </w:tr>
      <w:tr>
        <w:trPr>
          <w:jc w:val="center"/>
          <w:trHeight w:val="1628"/>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ascii="MS Mincho" w:hAnsi="MS Mincho" w:cs="MS Mincho"/>
                <w:color w:val="auto"/>
                <w:sz w:val="24"/>
                <w:highlight w:val="none"/>
              </w:rPr>
              <w:t xml:space="preserve">□</w:t>
            </w:r>
            <w:r>
              <w:rPr>
                <w:color w:val="auto"/>
                <w:sz w:val="24"/>
                <w:highlight w:val="none"/>
              </w:rPr>
              <w:t xml:space="preserve">无</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有，具体情形：</w:t>
            </w:r>
            <w:r>
              <w:rPr>
                <w:rFonts w:hint="eastAsia"/>
                <w:color w:val="auto"/>
                <w:sz w:val="24"/>
                <w:highlight w:val="none"/>
                <w:u w:val="single"/>
              </w:rPr>
              <w:t xml:space="preserve">2次报价，响应文件中的报价作为首次报价，首次报价不超最高限价（控制价），磋商小组应当要求所有实质性响应的供应商在规定时间内提交最后报价，最后报价作为评分依据。</w:t>
            </w:r>
            <w:r/>
          </w:p>
        </w:tc>
      </w:tr>
      <w:tr>
        <w:trPr>
          <w:jc w:val="center"/>
          <w:trHeight w:val="505"/>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465"/>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u w:val="singl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383"/>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u w:val="single"/>
              </w:rPr>
              <w:t xml:space="preserve">书面形式</w:t>
            </w:r>
            <w:r>
              <w:rPr>
                <w:color w:val="auto"/>
                <w:sz w:val="24"/>
                <w:highlight w:val="none"/>
              </w:rPr>
              <w:t xml:space="preserve">。</w:t>
            </w:r>
            <w:r/>
          </w:p>
        </w:tc>
      </w:tr>
      <w:tr>
        <w:trPr>
          <w:jc w:val="center"/>
          <w:trHeight w:val="20"/>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u w:val="single"/>
              </w:rPr>
              <w:t xml:space="preserve">常州盈泰招标有限公司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u w:val="single"/>
              </w:rPr>
              <w:t xml:space="preserve">0519-89853339</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u w:val="single"/>
              </w:rPr>
              <w:t xml:space="preserve">常州市新北区太湖中路8号锦湖创新中心A座11楼</w:t>
            </w:r>
            <w:r>
              <w:rPr>
                <w:color w:val="auto"/>
                <w:sz w:val="24"/>
                <w:highlight w:val="none"/>
              </w:rPr>
              <w:t xml:space="preserve">。</w:t>
            </w:r>
            <w:r/>
          </w:p>
        </w:tc>
      </w:tr>
      <w:tr>
        <w:trPr>
          <w:jc w:val="center"/>
          <w:trHeight w:val="20"/>
        </w:trPr>
        <w:tc>
          <w:tcPr>
            <w:tcW w:w="988" w:type="dxa"/>
            <w:vAlign w:val="center"/>
            <w:textDirection w:val="lrTb"/>
            <w:noWrap w:val="false"/>
          </w:tcPr>
          <w:p>
            <w:pPr>
              <w:pStyle w:val="1198"/>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color w:val="auto"/>
                <w:highlight w:val="none"/>
              </w:rPr>
              <w:t xml:space="preserve">□</w:t>
            </w:r>
            <w:r>
              <w:rPr>
                <w:color w:val="auto"/>
                <w:sz w:val="24"/>
                <w:highlight w:val="none"/>
              </w:rPr>
              <w:t xml:space="preserve">采购人</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成交供应商</w:t>
            </w:r>
            <w:r/>
          </w:p>
          <w:p>
            <w:pPr>
              <w:pStyle w:val="1232"/>
              <w:rPr>
                <w:color w:val="auto"/>
                <w:highlight w:val="none"/>
              </w:rPr>
            </w:pPr>
            <w:r>
              <w:rPr>
                <w:color w:val="auto"/>
                <w:highlight w:val="none"/>
              </w:rPr>
              <w:t xml:space="preserve">收费标准：</w:t>
            </w:r>
            <w:r/>
          </w:p>
          <w:tbl>
            <w:tblPr>
              <w:tblStyle w:val="983"/>
              <w:tblW w:w="47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textDirection w:val="lrTb"/>
                  <w:noWrap w:val="false"/>
                </w:tcPr>
                <w:p>
                  <w:pPr>
                    <w:ind w:firstLine="1080"/>
                    <w:spacing w:line="440" w:lineRule="exact"/>
                    <w:rPr>
                      <w:rFonts w:ascii="宋体" w:hAnsi="宋体" w:cs="宋体"/>
                      <w:bCs/>
                      <w:color w:val="auto"/>
                      <w:sz w:val="24"/>
                      <w:highlight w:val="none"/>
                    </w:rPr>
                  </w:pPr>
                  <w:r>
                    <w:rPr>
                      <w:rFonts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506855" cy="1675130"/>
                            <wp:effectExtent l="3810" t="3175" r="13335" b="17145"/>
                            <wp:wrapNone/>
                            <wp:docPr id="7" name="直接连接符 3"/>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xy;visibility:visible;" from="27.0pt,-0.3pt" to="145.6pt,131.6pt" fillcolor="#FFFFFF" strokecolor="#000000"/>
                        </w:pict>
                      </mc:Fallback>
                    </mc:AlternateContent>
                  </w:r>
                  <w:r>
                    <w:rPr>
                      <w:rFonts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color w:val="auto"/>
                      <w:sz w:val="24"/>
                      <w:highlight w:val="none"/>
                    </w:rPr>
                    <w:t xml:space="preserve">服</w:t>
                  </w:r>
                  <w:r/>
                </w:p>
                <w:p>
                  <w:pPr>
                    <w:ind w:firstLine="24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费　　　   务</w:t>
                  </w:r>
                  <w:r/>
                </w:p>
                <w:p>
                  <w:pPr>
                    <w:ind w:firstLine="1440"/>
                    <w:spacing w:line="440" w:lineRule="exact"/>
                    <w:rPr>
                      <w:rFonts w:ascii="宋体" w:hAnsi="宋体" w:cs="宋体"/>
                      <w:bCs/>
                      <w:color w:val="auto"/>
                      <w:sz w:val="24"/>
                      <w:highlight w:val="none"/>
                    </w:rPr>
                  </w:pPr>
                  <w:r>
                    <w:rPr>
                      <w:rFonts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-64135</wp:posOffset>
                            </wp:positionH>
                            <wp:positionV relativeFrom="paragraph">
                              <wp:posOffset>81915</wp:posOffset>
                            </wp:positionV>
                            <wp:extent cx="1914525" cy="1029335"/>
                            <wp:effectExtent l="2540" t="4445" r="6985" b="13970"/>
                            <wp:wrapNone/>
                            <wp:docPr id="9" name="直接连接符 5"/>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xy;visibility:visible;" from="-5.0pt,6.4pt" to="145.7pt,87.5pt" filled="f" strokecolor="#000000"/>
                        </w:pict>
                      </mc:Fallback>
                    </mc:AlternateContent>
                  </w:r>
                  <w:r>
                    <w:rPr>
                      <w:rFonts w:hint="eastAsia" w:ascii="宋体" w:hAnsi="宋体" w:cs="宋体"/>
                      <w:bCs/>
                      <w:color w:val="auto"/>
                      <w:sz w:val="24"/>
                      <w:highlight w:val="none"/>
                    </w:rPr>
                    <w:t xml:space="preserve">　   类</w:t>
                  </w:r>
                  <w:r/>
                </w:p>
                <w:p>
                  <w:pPr>
                    <w:ind w:firstLine="120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率　       型</w:t>
                  </w:r>
                  <w:r/>
                </w:p>
                <w:p>
                  <w:pPr>
                    <w:ind w:firstLine="120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中标金额（万元）</w:t>
                  </w:r>
                  <w:r/>
                </w:p>
              </w:tc>
              <w:tc>
                <w:tcPr>
                  <w:tcW w:w="1707"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服务类</w:t>
                  </w:r>
                  <w:r/>
                </w:p>
              </w:tc>
            </w:tr>
            <w:tr>
              <w:trPr/>
              <w:tc>
                <w:tcPr>
                  <w:tcW w:w="3027"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100（含，下同）以下</w:t>
                  </w:r>
                  <w:r/>
                </w:p>
              </w:tc>
              <w:tc>
                <w:tcPr>
                  <w:tcW w:w="1707"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olor w:val="auto"/>
                      <w:sz w:val="24"/>
                      <w:highlight w:val="none"/>
                    </w:rPr>
                    <w:t xml:space="preserve">1.5</w:t>
                  </w:r>
                  <w:r>
                    <w:rPr>
                      <w:rFonts w:ascii="宋体" w:hAnsi="宋体"/>
                      <w:color w:val="auto"/>
                      <w:sz w:val="24"/>
                      <w:highlight w:val="none"/>
                    </w:rPr>
                    <w:t xml:space="preserve">%</w:t>
                  </w:r>
                  <w:r/>
                </w:p>
              </w:tc>
            </w:tr>
            <w:tr>
              <w:trPr/>
              <w:tc>
                <w:tcPr>
                  <w:tcW w:w="3027"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100-500</w:t>
                  </w:r>
                  <w:r/>
                </w:p>
              </w:tc>
              <w:tc>
                <w:tcPr>
                  <w:tcW w:w="1707"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olor w:val="auto"/>
                      <w:sz w:val="24"/>
                      <w:highlight w:val="none"/>
                    </w:rPr>
                    <w:t xml:space="preserve">0.8</w:t>
                  </w:r>
                  <w:r>
                    <w:rPr>
                      <w:rFonts w:ascii="宋体" w:hAnsi="宋体"/>
                      <w:color w:val="auto"/>
                      <w:sz w:val="24"/>
                      <w:highlight w:val="none"/>
                    </w:rPr>
                    <w:t xml:space="preserve">%</w:t>
                  </w:r>
                  <w:r/>
                </w:p>
              </w:tc>
            </w:tr>
            <w:tr>
              <w:trPr/>
              <w:tc>
                <w:tcPr>
                  <w:tcW w:w="3027"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1707"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p>
              </w:tc>
            </w:tr>
          </w:tbl>
          <w:p>
            <w:pPr>
              <w:jc w:val="left"/>
              <w:rPr>
                <w:rFonts w:hint="default" w:eastAsia="宋体"/>
                <w:b/>
                <w:bCs/>
                <w:color w:val="auto"/>
                <w:sz w:val="24"/>
                <w:highlight w:val="none"/>
                <w:lang w:val="en-US" w:eastAsia="zh-CN"/>
              </w:rPr>
            </w:pPr>
            <w:r>
              <w:rPr>
                <w:rFonts w:hint="eastAsia"/>
                <w:color w:val="auto"/>
                <w:sz w:val="24"/>
                <w:highlight w:val="none"/>
              </w:rPr>
              <w:t xml:space="preserve">2.代理服务收费按差额定率累进法计算。</w:t>
            </w:r>
            <w:r>
              <w:rPr>
                <w:rFonts w:hint="eastAsia"/>
                <w:color w:val="auto"/>
                <w:sz w:val="24"/>
                <w:highlight w:val="none"/>
                <w:lang w:eastAsia="zh-CN"/>
              </w:rPr>
              <w:t xml:space="preserve">本项目代理服务费按上述收费标准的</w:t>
            </w:r>
            <w:r>
              <w:rPr>
                <w:rFonts w:hint="eastAsia"/>
                <w:color w:val="auto"/>
                <w:sz w:val="24"/>
                <w:highlight w:val="none"/>
                <w:lang w:val="en-US" w:eastAsia="zh-CN"/>
              </w:rPr>
              <w:t xml:space="preserve">80%计算。</w:t>
            </w:r>
            <w:r/>
          </w:p>
          <w:p>
            <w:pPr>
              <w:jc w:val="left"/>
              <w:rPr>
                <w:color w:val="auto"/>
                <w:sz w:val="24"/>
                <w:highlight w:val="none"/>
              </w:rPr>
            </w:pPr>
            <w:r>
              <w:rPr>
                <w:rFonts w:hint="eastAsia"/>
                <w:color w:val="auto"/>
                <w:sz w:val="24"/>
                <w:highlight w:val="none"/>
              </w:rPr>
              <w:t xml:space="preserve">3.代理服务收费按上述计算方法不足人民币3000元的，按人民币3000元收取。</w:t>
            </w:r>
            <w:r/>
          </w:p>
          <w:p>
            <w:pPr>
              <w:jc w:val="left"/>
              <w:rPr>
                <w:color w:val="auto"/>
                <w:sz w:val="24"/>
                <w:highlight w:val="none"/>
              </w:rPr>
            </w:pPr>
            <w:r>
              <w:rPr>
                <w:color w:val="auto"/>
                <w:sz w:val="24"/>
                <w:highlight w:val="none"/>
              </w:rPr>
              <w:t xml:space="preserve">4</w:t>
            </w:r>
            <w:r>
              <w:rPr>
                <w:rFonts w:hint="eastAsia"/>
                <w:color w:val="auto"/>
                <w:sz w:val="24"/>
                <w:highlight w:val="none"/>
              </w:rPr>
              <w:t xml:space="preserve">.成交供应商如果未按规定交纳代理服务费，将保留诉讼权利。</w:t>
            </w:r>
            <w:r/>
          </w:p>
          <w:p>
            <w:pPr>
              <w:jc w:val="left"/>
              <w:rPr>
                <w:color w:val="auto"/>
                <w:sz w:val="24"/>
                <w:highlight w:val="none"/>
                <w:u w:val="single"/>
              </w:rPr>
            </w:pPr>
            <w:r>
              <w:rPr>
                <w:color w:val="auto"/>
                <w:sz w:val="24"/>
                <w:highlight w:val="none"/>
              </w:rPr>
              <w:t xml:space="preserve">缴纳时间：</w:t>
            </w:r>
            <w:r>
              <w:rPr>
                <w:rFonts w:hint="eastAsia"/>
                <w:color w:val="auto"/>
                <w:sz w:val="24"/>
                <w:highlight w:val="none"/>
                <w:u w:val="single"/>
              </w:rPr>
              <w:t xml:space="preserve">成交供应商应在领取成交通知书前将代理服务费付至采购代理机构指定的收款账户</w:t>
            </w:r>
            <w:r>
              <w:rPr>
                <w:color w:val="auto"/>
                <w:sz w:val="24"/>
                <w:highlight w:val="none"/>
                <w:u w:val="single"/>
              </w:rPr>
              <w:t xml:space="preserve">。</w:t>
            </w:r>
            <w:r>
              <w:rPr>
                <w:rFonts w:hint="eastAsia"/>
                <w:color w:val="auto"/>
                <w:sz w:val="24"/>
                <w:highlight w:val="none"/>
                <w:u w:val="single"/>
              </w:rPr>
              <w:t xml:space="preserve">成交供应商如果未按规定缴纳代理服务费，将保留诉讼的权利。</w:t>
            </w:r>
            <w:r/>
          </w:p>
          <w:p>
            <w:pPr>
              <w:jc w:val="left"/>
              <w:rPr>
                <w:color w:val="auto"/>
                <w:sz w:val="24"/>
                <w:highlight w:val="none"/>
              </w:rPr>
            </w:pPr>
            <w:r>
              <w:rPr>
                <w:rFonts w:hint="eastAsia"/>
                <w:color w:val="auto"/>
                <w:sz w:val="24"/>
                <w:highlight w:val="none"/>
              </w:rPr>
              <w:t xml:space="preserve">收款单位：常州盈泰招标有限公司</w:t>
            </w:r>
            <w:r/>
          </w:p>
          <w:p>
            <w:pPr>
              <w:jc w:val="left"/>
              <w:rPr>
                <w:color w:val="auto"/>
                <w:sz w:val="24"/>
                <w:highlight w:val="none"/>
              </w:rPr>
            </w:pPr>
            <w:r>
              <w:rPr>
                <w:rFonts w:hint="eastAsia"/>
                <w:color w:val="auto"/>
                <w:sz w:val="24"/>
                <w:highlight w:val="none"/>
              </w:rPr>
              <w:t xml:space="preserve">开户银行：中国建设银行常州市延陵路支行</w:t>
            </w:r>
            <w:r/>
          </w:p>
          <w:p>
            <w:pPr>
              <w:jc w:val="left"/>
              <w:rPr>
                <w:color w:val="auto"/>
                <w:sz w:val="24"/>
                <w:highlight w:val="none"/>
              </w:rPr>
            </w:pPr>
            <w:r>
              <w:rPr>
                <w:rFonts w:hint="eastAsia"/>
                <w:color w:val="auto"/>
                <w:sz w:val="24"/>
                <w:highlight w:val="none"/>
              </w:rPr>
              <w:t xml:space="preserve">银行账号：</w:t>
            </w:r>
            <w:r>
              <w:rPr>
                <w:color w:val="auto"/>
                <w:sz w:val="24"/>
                <w:highlight w:val="none"/>
              </w:rPr>
              <w:t xml:space="preserve">32050162853600001068</w:t>
            </w:r>
            <w:r/>
          </w:p>
        </w:tc>
      </w:tr>
    </w:tbl>
    <w:p>
      <w:pPr>
        <w:spacing w:line="360" w:lineRule="auto"/>
        <w:tabs>
          <w:tab w:val="left" w:pos="5580" w:leader="none"/>
        </w:tabs>
        <w:rPr>
          <w:color w:val="auto"/>
          <w:sz w:val="24"/>
          <w:highlight w:val="none"/>
        </w:rPr>
        <w:sectPr>
          <w:footerReference w:type="default" r:id="rId20"/>
          <w:footerReference w:type="first" r:id="rId21"/>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1164"/>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77" w:name="_Toc520356143"/>
      <w:r/>
      <w:bookmarkStart w:id="78" w:name="_Toc127151518"/>
      <w:r>
        <w:rPr>
          <w:rFonts w:ascii="Times New Roman" w:hAnsi="Times New Roman" w:eastAsia="宋体"/>
          <w:color w:val="auto"/>
          <w:sz w:val="28"/>
          <w:highlight w:val="none"/>
        </w:rPr>
        <w:tab/>
      </w:r>
      <w:bookmarkStart w:id="79" w:name="_Toc151193832"/>
      <w:r/>
      <w:bookmarkStart w:id="80" w:name="_Toc305158786"/>
      <w:r/>
      <w:bookmarkStart w:id="81" w:name="_Toc151193616"/>
      <w:r/>
      <w:bookmarkStart w:id="82" w:name="_Toc151190145"/>
      <w:r/>
      <w:bookmarkStart w:id="83" w:name="_Toc150480756"/>
      <w:r/>
      <w:bookmarkStart w:id="84" w:name="_Toc151193688"/>
      <w:r/>
      <w:bookmarkStart w:id="85" w:name="_Toc226309762"/>
      <w:r/>
      <w:bookmarkStart w:id="86" w:name="_Toc226965791"/>
      <w:r/>
      <w:bookmarkStart w:id="87" w:name="_Toc264969208"/>
      <w:r/>
      <w:bookmarkStart w:id="88" w:name="_Toc195842883"/>
      <w:r/>
      <w:bookmarkStart w:id="89" w:name="_Toc226965708"/>
      <w:r/>
      <w:bookmarkStart w:id="90" w:name="_Toc265228356"/>
      <w:r/>
      <w:bookmarkStart w:id="91" w:name="_Toc151193760"/>
      <w:r/>
      <w:bookmarkStart w:id="92" w:name="_Toc142311020"/>
      <w:r/>
      <w:bookmarkStart w:id="93" w:name="_Toc226337214"/>
      <w:r/>
      <w:bookmarkStart w:id="94" w:name="_Toc150774723"/>
      <w:r/>
      <w:bookmarkStart w:id="95" w:name="_Toc305158860"/>
      <w:r/>
      <w:bookmarkStart w:id="96" w:name="_Toc150509269"/>
      <w:r/>
      <w:bookmarkStart w:id="97" w:name="_Toc150774618"/>
      <w:r/>
      <w:bookmarkStart w:id="98" w:name="_Toc151193906"/>
      <w:r>
        <w:rPr>
          <w:rFonts w:ascii="Times New Roman" w:hAnsi="Times New Roman" w:eastAsia="宋体"/>
          <w:color w:val="auto"/>
          <w:sz w:val="28"/>
          <w:highlight w:val="none"/>
        </w:rPr>
        <w:t xml:space="preserve">一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color w:val="auto"/>
          <w:sz w:val="28"/>
          <w:highlight w:val="none"/>
        </w:rPr>
        <w:tab/>
      </w:r>
      <w:r/>
    </w:p>
    <w:p>
      <w:pPr>
        <w:ind w:firstLine="482"/>
        <w:spacing w:line="360" w:lineRule="auto"/>
        <w:tabs>
          <w:tab w:val="left" w:pos="360" w:leader="none"/>
        </w:tabs>
        <w:rPr>
          <w:rFonts w:ascii="宋体" w:hAnsi="宋体" w:cs="宋体"/>
          <w:b/>
          <w:bCs/>
          <w:color w:val="auto"/>
          <w:sz w:val="24"/>
          <w:highlight w:val="none"/>
        </w:rPr>
        <w:outlineLvl w:val="1"/>
      </w:pPr>
      <w:r/>
      <w:bookmarkStart w:id="99" w:name="_Toc265228357"/>
      <w:r/>
      <w:bookmarkStart w:id="100" w:name="_Toc305158861"/>
      <w:r/>
      <w:bookmarkStart w:id="101" w:name="_Toc264969209"/>
      <w:r/>
      <w:bookmarkStart w:id="102" w:name="_Toc305158787"/>
      <w:r>
        <w:rPr>
          <w:rFonts w:hint="eastAsia" w:ascii="宋体" w:hAnsi="宋体" w:cs="宋体"/>
          <w:b/>
          <w:bCs/>
          <w:color w:val="auto"/>
          <w:sz w:val="24"/>
          <w:highlight w:val="none"/>
        </w:rPr>
        <w:t xml:space="preserve">1采购人、采购代理机构、供应商</w:t>
      </w:r>
      <w:bookmarkEnd w:id="99"/>
      <w:r/>
      <w:bookmarkEnd w:id="100"/>
      <w:r/>
      <w:bookmarkEnd w:id="101"/>
      <w:r/>
      <w:bookmarkEnd w:id="102"/>
      <w:r>
        <w:rPr>
          <w:rFonts w:hint="eastAsia" w:ascii="宋体" w:hAnsi="宋体" w:cs="宋体"/>
          <w:b/>
          <w:bCs/>
          <w:color w:val="auto"/>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1.1采购人、采购代理机构：指依法进行政府采购的国家机关、事业单位、团体组织，及其委托的采购代理机构。本项目采购人、采购代理机构见第一章《采购邀请》。</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1.2供应商（也称“申请人”）：指向采购人提供货物、工程或者服务的法人、其他组织或者自然人。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1.3联合体：指两个以上的自然人、法人或者其他组织组成一个联合体，以一个供应商的身份共同参加政府采购。</w:t>
      </w:r>
      <w:r/>
    </w:p>
    <w:p>
      <w:pPr>
        <w:ind w:firstLine="482"/>
        <w:spacing w:line="360" w:lineRule="auto"/>
        <w:tabs>
          <w:tab w:val="left" w:pos="360" w:leader="none"/>
        </w:tabs>
        <w:rPr>
          <w:rFonts w:ascii="宋体" w:hAnsi="宋体" w:cs="宋体"/>
          <w:b/>
          <w:bCs/>
          <w:color w:val="auto"/>
          <w:sz w:val="24"/>
          <w:highlight w:val="none"/>
        </w:rPr>
        <w:outlineLvl w:val="1"/>
      </w:pPr>
      <w:r/>
      <w:bookmarkStart w:id="103" w:name="_Toc151190147"/>
      <w:r/>
      <w:bookmarkStart w:id="104" w:name="_Toc164229215"/>
      <w:r/>
      <w:bookmarkStart w:id="105" w:name="_Toc150480758"/>
      <w:r/>
      <w:bookmarkStart w:id="106" w:name="_Toc226309764"/>
      <w:r/>
      <w:bookmarkStart w:id="107" w:name="_Toc127161434"/>
      <w:r/>
      <w:bookmarkStart w:id="108" w:name="_Toc150774725"/>
      <w:r/>
      <w:bookmarkStart w:id="109" w:name="_Toc151193618"/>
      <w:r/>
      <w:bookmarkStart w:id="110" w:name="_Toc150509271"/>
      <w:r/>
      <w:bookmarkStart w:id="111" w:name="_Toc151193908"/>
      <w:r/>
      <w:bookmarkStart w:id="112" w:name="_Toc151193834"/>
      <w:r/>
      <w:bookmarkStart w:id="113" w:name="_Toc264969210"/>
      <w:r/>
      <w:bookmarkStart w:id="114" w:name="_Toc151193762"/>
      <w:r/>
      <w:bookmarkStart w:id="115" w:name="_Toc151193690"/>
      <w:r/>
      <w:bookmarkStart w:id="116" w:name="_Toc164608789"/>
      <w:r/>
      <w:bookmarkStart w:id="117" w:name="_Toc195842885"/>
      <w:r/>
      <w:bookmarkStart w:id="118" w:name="_Toc150774620"/>
      <w:r/>
      <w:bookmarkStart w:id="119" w:name="_Toc305158788"/>
      <w:r/>
      <w:bookmarkStart w:id="120" w:name="_Toc142311022"/>
      <w:r/>
      <w:bookmarkStart w:id="121" w:name="_Toc149720813"/>
      <w:r/>
      <w:bookmarkStart w:id="122" w:name="_Toc226965710"/>
      <w:r/>
      <w:bookmarkStart w:id="123" w:name="_Toc127151520"/>
      <w:r/>
      <w:bookmarkStart w:id="124" w:name="_Toc226337216"/>
      <w:r/>
      <w:bookmarkStart w:id="125" w:name="_Toc127151721"/>
      <w:r/>
      <w:bookmarkStart w:id="126" w:name="_Toc226965793"/>
      <w:r/>
      <w:bookmarkStart w:id="127" w:name="_Toc305158862"/>
      <w:r/>
      <w:bookmarkStart w:id="128" w:name="_Toc164608634"/>
      <w:r/>
      <w:bookmarkStart w:id="129" w:name="_Toc164351614"/>
      <w:r/>
      <w:bookmarkStart w:id="130" w:name="_Toc265228358"/>
      <w:r/>
      <w:bookmarkStart w:id="131" w:name="_Toc164229361"/>
      <w:r>
        <w:rPr>
          <w:rFonts w:hint="eastAsia" w:ascii="宋体" w:hAnsi="宋体" w:cs="宋体"/>
          <w:b/>
          <w:bCs/>
          <w:color w:val="auto"/>
          <w:sz w:val="24"/>
          <w:highlight w:val="none"/>
        </w:rPr>
        <w:t xml:space="preserve">2资金来源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bCs/>
          <w:color w:val="auto"/>
          <w:sz w:val="24"/>
          <w:highlight w:val="none"/>
        </w:rPr>
        <w:t xml:space="preserve">、项目属性、科研仪器设备采购</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2.1资金来源为财政性资金和/或本项目采购中无法与财政性资金分割的非财政性资金。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2.2项目属性见《供应商须知资料表》。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2.3是否属于科研仪器设备采购见《供应商须知资料表》。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3现场考察、磋商前答疑会</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3.1若《供应商须知资料表》中规定了组织现场考察、召开磋商前答疑会，则供应商应按要求在规定的时间和地点参加。</w:t>
      </w:r>
      <w:bookmarkStart w:id="132" w:name="_Toc264969212"/>
      <w:r/>
      <w:bookmarkStart w:id="133" w:name="_Toc151193910"/>
      <w:r/>
      <w:bookmarkStart w:id="134" w:name="_Toc226965712"/>
      <w:r/>
      <w:bookmarkStart w:id="135" w:name="_Toc226309766"/>
      <w:r/>
      <w:bookmarkStart w:id="136" w:name="_Toc142311024"/>
      <w:r/>
      <w:bookmarkStart w:id="137" w:name="_Toc151190149"/>
      <w:r/>
      <w:bookmarkStart w:id="138" w:name="_Toc150774622"/>
      <w:r/>
      <w:bookmarkStart w:id="139" w:name="_Toc127151522"/>
      <w:r/>
      <w:bookmarkStart w:id="140" w:name="_Toc265228360"/>
      <w:r/>
      <w:bookmarkStart w:id="141" w:name="_Toc226965795"/>
      <w:r/>
      <w:bookmarkStart w:id="142" w:name="_Toc226337218"/>
      <w:r/>
      <w:bookmarkStart w:id="143" w:name="_Toc151193692"/>
      <w:r/>
      <w:bookmarkStart w:id="144" w:name="_Toc150774727"/>
      <w:r/>
      <w:bookmarkStart w:id="145" w:name="_Toc151193836"/>
      <w:r/>
      <w:bookmarkStart w:id="146" w:name="_Toc305158864"/>
      <w:r/>
      <w:bookmarkStart w:id="147" w:name="_Toc305158790"/>
      <w:r/>
      <w:bookmarkStart w:id="148" w:name="_Toc150509273"/>
      <w:r/>
      <w:bookmarkStart w:id="149" w:name="_Toc195842887"/>
      <w:r/>
      <w:bookmarkStart w:id="150" w:name="_Toc150480760"/>
      <w:r/>
      <w:bookmarkStart w:id="151" w:name="_Toc151193764"/>
      <w:r/>
      <w:bookmarkStart w:id="152" w:name="_Toc520356146"/>
      <w:r/>
      <w:bookmarkStart w:id="153" w:name="_Toc151193620"/>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3.2由于未参加现场考察或磋商前答疑会而导致对项目实际情况不了解，影响响应文件编制、报价准确性、综合因素响应不全面等问题的，由供应商自行承担不利评审后果。</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4政府采购政策（包括但不限于下列具体政策要求）</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4.1进口产品</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4.2中小企业、监狱企业及残疾人福利性单位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4.2.1中小企业定义：</w:t>
      </w:r>
      <w:r/>
    </w:p>
    <w:p>
      <w:pPr>
        <w:pStyle w:val="1250"/>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1</w:t>
      </w:r>
      <w:r/>
    </w:p>
    <w:p>
      <w:pPr>
        <w:pStyle w:val="1250"/>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2</w:t>
      </w:r>
      <w:r/>
    </w:p>
    <w:p>
      <w:pPr>
        <w:pStyle w:val="1250"/>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3</w:t>
      </w:r>
      <w:r/>
    </w:p>
    <w:p>
      <w:pPr>
        <w:pStyle w:val="1250"/>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w:t>
      </w:r>
      <w:r/>
    </w:p>
    <w:p>
      <w:pPr>
        <w:pStyle w:val="1250"/>
        <w:numPr>
          <w:ilvl w:val="1"/>
          <w:numId w:val="0"/>
        </w:numPr>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4.1</w:t>
      </w:r>
      <w:r/>
    </w:p>
    <w:p>
      <w:pPr>
        <w:pStyle w:val="1250"/>
        <w:numPr>
          <w:ilvl w:val="1"/>
          <w:numId w:val="0"/>
        </w:numPr>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4.2</w:t>
      </w:r>
      <w:r/>
    </w:p>
    <w:p>
      <w:pPr>
        <w:pStyle w:val="1250"/>
        <w:numPr>
          <w:ilvl w:val="2"/>
          <w:numId w:val="0"/>
        </w:numPr>
        <w:ind w:firstLine="480"/>
        <w:spacing w:line="360" w:lineRule="auto"/>
        <w:tabs>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4.2.1</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4.2.1.1中小企业是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4.2.1.2供应商提供的货物、工程或者服务符合下列情形的，享受中小企业扶持政策：</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4.2.1.3在货物采购项目中，供应商提供的货物既有中小企业制造货物，也有大型企业制造货物的，不享受中小企业扶持政策。</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4.2.1.4以联合体形式参加政府采购活动，联合体各方均为中小企业的，联合体视同中小企业。其中，联合体各方均为小微企业的，联合体视同小微企业。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4.2.3残疾人福利单位定义：享受政府采购支持政策的残疾人福利性单位应当同时满足以下条件：</w:t>
      </w:r>
      <w:r/>
    </w:p>
    <w:p>
      <w:pPr>
        <w:pStyle w:val="1250"/>
        <w:numPr>
          <w:ilvl w:val="2"/>
          <w:numId w:val="0"/>
        </w:numPr>
        <w:ind w:firstLine="480"/>
        <w:spacing w:line="360" w:lineRule="auto"/>
        <w:tabs>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4.2.2</w:t>
      </w:r>
      <w:r/>
    </w:p>
    <w:p>
      <w:pPr>
        <w:pStyle w:val="1250"/>
        <w:numPr>
          <w:ilvl w:val="2"/>
          <w:numId w:val="0"/>
        </w:numPr>
        <w:ind w:firstLine="480"/>
        <w:spacing w:line="360" w:lineRule="auto"/>
        <w:tabs>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4.2.3</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4.2.3.1安置的残疾人占本单位在职职工人数的比例不低于25%（含25%），并且安置的残疾人人数不少于10 人（含10 人）；</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4.2.3.2依法与安置的每位残疾人签订了一年以上（含一年）的劳动合同或服务协议；</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4.2.3.3为安置的每位残疾人按月足额缴纳了基本养老保险、基本医疗保险、失业保险、工伤保险和生育保险等社会保险费；</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4.2.3.4通过银行等金融机构向安置的每位残疾人，按月支付了不低于单位所在区县适用的经省级人民政府批准的月最低工资标准的工资；</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4.2.3.5提供本单位制造的货物、承担的工程或者服务（以下简称产品），或者提供其他残疾人福利性单位制造的货物（不包括使用非残疾人福利性单位注册商标的货物）；</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4.2.4本项目是否专门面向中小企业预留采购份额见第一章《采购邀请》。</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4.2.5采购标的对应的中小企业划分标准所属行业见《供应商须知资料表》。</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4.2.6小微企业价格评审优惠的政策调整：见第三章《评审方法和评审标准》。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4.3政府采购节能产品、环境标志产品</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4.3.4非政府强制采购的节能产品或环境标志产品，依据品目清单和认证证书实施政府优先采购。优先采购的具体规定见第三章《评审方法和评审标准》（如涉及）。</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4.4支持乡村产业振兴管理</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4.5正版软件</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4.6政府采购创新产品政策</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4.7 绿色采购政策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4.7.1 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4.7.2 推广应用绿色建材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4.7.3 优先使用低挥发性有机化合物产品</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4.8履约保证金相关政策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4.8.2</w:t>
      </w:r>
      <w:r>
        <w:rPr>
          <w:rFonts w:hint="eastAsia" w:ascii="宋体" w:hAnsi="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5响应费用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5.1供应商应自行承担所有与准备和参加磋商有关的费用，无论磋商的结果如何，采购人或采购代理机构在任何情况下均无承担这些费用的义务和责任。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54" w:name="_1.8_计量单位"/>
      <w:r/>
      <w:bookmarkEnd w:id="154"/>
      <w:r/>
      <w:r/>
    </w:p>
    <w:p>
      <w:pPr>
        <w:pStyle w:val="116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2"/>
        <w:spacing w:line="360" w:lineRule="auto"/>
        <w:tabs>
          <w:tab w:val="left" w:pos="360" w:leader="none"/>
        </w:tabs>
        <w:rPr>
          <w:rFonts w:ascii="宋体" w:hAnsi="宋体" w:cs="宋体"/>
          <w:b/>
          <w:bCs/>
          <w:color w:val="auto"/>
          <w:sz w:val="24"/>
          <w:highlight w:val="none"/>
        </w:rPr>
        <w:outlineLvl w:val="1"/>
      </w:pPr>
      <w:r/>
      <w:bookmarkStart w:id="155" w:name="_Toc151193837"/>
      <w:r/>
      <w:bookmarkStart w:id="156" w:name="_Toc164608637"/>
      <w:r/>
      <w:bookmarkStart w:id="157" w:name="_Toc195842888"/>
      <w:r/>
      <w:bookmarkStart w:id="158" w:name="_Toc164608792"/>
      <w:r/>
      <w:bookmarkStart w:id="159" w:name="_Toc150480761"/>
      <w:r/>
      <w:bookmarkStart w:id="160" w:name="_Toc150774623"/>
      <w:r/>
      <w:bookmarkStart w:id="161" w:name="_Toc520356147"/>
      <w:r/>
      <w:bookmarkStart w:id="162" w:name="_Toc164351617"/>
      <w:r/>
      <w:bookmarkStart w:id="163" w:name="_Toc226965713"/>
      <w:r/>
      <w:bookmarkStart w:id="164" w:name="_Toc151193911"/>
      <w:r/>
      <w:bookmarkStart w:id="165" w:name="_Toc127151724"/>
      <w:r/>
      <w:bookmarkStart w:id="166" w:name="_Toc151193693"/>
      <w:r/>
      <w:bookmarkStart w:id="167" w:name="_Toc151190150"/>
      <w:r/>
      <w:bookmarkStart w:id="168" w:name="_Toc305158865"/>
      <w:r/>
      <w:bookmarkStart w:id="169" w:name="_Toc151193765"/>
      <w:r/>
      <w:bookmarkStart w:id="170" w:name="_Toc264969213"/>
      <w:r/>
      <w:bookmarkStart w:id="171" w:name="_Toc226309767"/>
      <w:r/>
      <w:bookmarkStart w:id="172" w:name="_Toc127161437"/>
      <w:r/>
      <w:bookmarkStart w:id="173" w:name="_Toc305158791"/>
      <w:r/>
      <w:bookmarkStart w:id="174" w:name="_Toc150774728"/>
      <w:r/>
      <w:bookmarkStart w:id="175" w:name="_Toc142311025"/>
      <w:r/>
      <w:bookmarkStart w:id="176" w:name="_Toc164229218"/>
      <w:r/>
      <w:bookmarkStart w:id="177" w:name="_Toc150509274"/>
      <w:r/>
      <w:bookmarkStart w:id="178" w:name="_Toc226965796"/>
      <w:r/>
      <w:bookmarkStart w:id="179" w:name="_Toc151193621"/>
      <w:r/>
      <w:bookmarkStart w:id="180" w:name="_Toc127151523"/>
      <w:r/>
      <w:bookmarkStart w:id="181" w:name="_Toc226337219"/>
      <w:r/>
      <w:bookmarkStart w:id="182" w:name="_Toc164229364"/>
      <w:r/>
      <w:bookmarkStart w:id="183" w:name="_Toc149720816"/>
      <w:r/>
      <w:bookmarkStart w:id="184" w:name="_Toc265228361"/>
      <w:r>
        <w:rPr>
          <w:rFonts w:hint="eastAsia" w:ascii="宋体" w:hAnsi="宋体" w:cs="宋体"/>
          <w:b/>
          <w:bCs/>
          <w:color w:val="auto"/>
          <w:sz w:val="24"/>
          <w:highlight w:val="none"/>
        </w:rPr>
        <w:t xml:space="preserve">6竞争性磋商文件构</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cs="宋体"/>
          <w:b/>
          <w:bCs/>
          <w:color w:val="auto"/>
          <w:sz w:val="24"/>
          <w:highlight w:val="none"/>
        </w:rPr>
        <w:t xml:space="preserve">成</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6.1竞争性磋商文件包括以下部分：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第一章 采购邀请</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第二章 供应商须知</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第三章 评审程序、评审方法和评审标准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第四章 采购需求</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第五章 合同草案条款</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第六章 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7对竞争性磋商文件的澄清或修改</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7.1采购人或采购代理机构对已发出的竞争性磋商文件进行必要澄清或者修改的，将在原公告发布媒体上以发布更正公告的形式通知所有获取磋商文件的供应商。</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85" w:name="_Toc516367020"/>
      <w:r/>
      <w:bookmarkStart w:id="186" w:name="_Toc151193840"/>
      <w:r/>
      <w:bookmarkStart w:id="187" w:name="_Toc264969216"/>
      <w:r/>
      <w:bookmarkStart w:id="188" w:name="_Toc195842891"/>
      <w:r/>
      <w:bookmarkStart w:id="189" w:name="_Toc150774731"/>
      <w:r/>
      <w:bookmarkStart w:id="190" w:name="_Toc151193768"/>
      <w:r/>
      <w:bookmarkStart w:id="191" w:name="_Toc305158794"/>
      <w:r/>
      <w:bookmarkStart w:id="192" w:name="_Toc265228364"/>
      <w:r/>
      <w:bookmarkStart w:id="193" w:name="_Toc305158868"/>
      <w:r/>
      <w:bookmarkStart w:id="194" w:name="_Toc150774626"/>
      <w:r/>
      <w:bookmarkStart w:id="195" w:name="_Toc151193624"/>
      <w:r/>
      <w:bookmarkStart w:id="196" w:name="_Toc151193696"/>
      <w:r/>
      <w:bookmarkStart w:id="197" w:name="_Toc150509277"/>
      <w:r/>
      <w:bookmarkStart w:id="198" w:name="_Toc151190153"/>
      <w:r/>
      <w:bookmarkStart w:id="199" w:name="_Toc151193914"/>
      <w:r/>
      <w:bookmarkStart w:id="200" w:name="_Toc150480764"/>
      <w:r/>
      <w:bookmarkStart w:id="201" w:name="_Toc520356150"/>
      <w:r/>
      <w:bookmarkStart w:id="202" w:name="_Toc226309770"/>
      <w:r/>
      <w:bookmarkStart w:id="203" w:name="_Toc226965716"/>
      <w:r/>
      <w:bookmarkStart w:id="204" w:name="_Toc226337222"/>
      <w:r/>
      <w:bookmarkStart w:id="205" w:name="_Toc226965799"/>
      <w:r/>
      <w:bookmarkStart w:id="206" w:name="_Toc127151526"/>
      <w:r/>
      <w:bookmarkStart w:id="207" w:name="_Toc142311028"/>
      <w:r/>
      <w:r/>
    </w:p>
    <w:p>
      <w:pPr>
        <w:pStyle w:val="116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85"/>
      <w:r>
        <w:rPr>
          <w:rFonts w:ascii="Times New Roman" w:hAnsi="Times New Roman" w:eastAsia="宋体"/>
          <w:color w:val="auto"/>
          <w:sz w:val="28"/>
          <w:highlight w:val="none"/>
        </w:rPr>
        <w:t xml:space="preserve">的编制</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82"/>
        <w:spacing w:line="360" w:lineRule="auto"/>
        <w:tabs>
          <w:tab w:val="left" w:pos="360" w:leader="none"/>
        </w:tabs>
        <w:rPr>
          <w:rFonts w:ascii="宋体" w:hAnsi="宋体" w:cs="宋体"/>
          <w:b/>
          <w:bCs/>
          <w:color w:val="auto"/>
          <w:sz w:val="24"/>
          <w:highlight w:val="none"/>
        </w:rPr>
        <w:outlineLvl w:val="1"/>
      </w:pPr>
      <w:r/>
      <w:bookmarkStart w:id="208" w:name="_Toc226965717"/>
      <w:r/>
      <w:bookmarkStart w:id="209" w:name="_Toc516367021"/>
      <w:r/>
      <w:bookmarkStart w:id="210" w:name="_Toc226337223"/>
      <w:r/>
      <w:bookmarkStart w:id="211" w:name="_Toc164608796"/>
      <w:r/>
      <w:bookmarkStart w:id="212" w:name="_Toc151193769"/>
      <w:r/>
      <w:bookmarkStart w:id="213" w:name="_Toc151190154"/>
      <w:r/>
      <w:bookmarkStart w:id="214" w:name="_Toc264969217"/>
      <w:r/>
      <w:bookmarkStart w:id="215" w:name="_Toc142311029"/>
      <w:r/>
      <w:bookmarkStart w:id="216" w:name="_Toc226309771"/>
      <w:r/>
      <w:bookmarkStart w:id="217" w:name="_Toc149720820"/>
      <w:r/>
      <w:bookmarkStart w:id="218" w:name="_Toc305158795"/>
      <w:r/>
      <w:bookmarkStart w:id="219" w:name="_Toc151193625"/>
      <w:r/>
      <w:bookmarkStart w:id="220" w:name="_Toc520356151"/>
      <w:r/>
      <w:bookmarkStart w:id="221" w:name="_Toc151193915"/>
      <w:r/>
      <w:bookmarkStart w:id="222" w:name="_Toc265228365"/>
      <w:r/>
      <w:bookmarkStart w:id="223" w:name="_Toc127151527"/>
      <w:r/>
      <w:bookmarkStart w:id="224" w:name="_Toc164229222"/>
      <w:r/>
      <w:bookmarkStart w:id="225" w:name="_Toc226965800"/>
      <w:r/>
      <w:bookmarkStart w:id="226" w:name="_Toc195842892"/>
      <w:r/>
      <w:bookmarkStart w:id="227" w:name="_Toc150774732"/>
      <w:r/>
      <w:bookmarkStart w:id="228" w:name="_Toc127161441"/>
      <w:r/>
      <w:bookmarkStart w:id="229" w:name="_Toc164351621"/>
      <w:r/>
      <w:bookmarkStart w:id="230" w:name="_Toc150480765"/>
      <w:r/>
      <w:bookmarkStart w:id="231" w:name="_Toc151193697"/>
      <w:r/>
      <w:bookmarkStart w:id="232" w:name="_Toc305158869"/>
      <w:r/>
      <w:bookmarkStart w:id="233" w:name="_Toc164229368"/>
      <w:r/>
      <w:bookmarkStart w:id="234" w:name="_Toc164608641"/>
      <w:r/>
      <w:bookmarkStart w:id="235" w:name="_Toc150774627"/>
      <w:r/>
      <w:bookmarkStart w:id="236" w:name="_Toc127151728"/>
      <w:r/>
      <w:bookmarkStart w:id="237" w:name="_Toc150509278"/>
      <w:r/>
      <w:bookmarkStart w:id="238" w:name="_Toc151193841"/>
      <w:r>
        <w:rPr>
          <w:rFonts w:hint="eastAsia" w:ascii="宋体" w:hAnsi="宋体" w:cs="宋体"/>
          <w:b/>
          <w:bCs/>
          <w:color w:val="auto"/>
          <w:sz w:val="24"/>
          <w:highlight w:val="none"/>
        </w:rPr>
        <w:t xml:space="preserve">8响应范围、竞争性磋商文件中计量单位的使用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b/>
          <w:bCs/>
          <w:color w:val="auto"/>
          <w:sz w:val="24"/>
          <w:highlight w:val="none"/>
        </w:rPr>
        <w:t xml:space="preserve">及磋商语言</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8.2除竞争性磋商文件有特殊要求外，本项目磋商所使用的计量单位，应采用中华人民共和国法定计量单位。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spacing w:line="360" w:lineRule="auto"/>
        <w:tabs>
          <w:tab w:val="left" w:pos="360" w:leader="none"/>
        </w:tabs>
        <w:rPr>
          <w:rFonts w:ascii="宋体" w:hAnsi="宋体" w:cs="宋体"/>
          <w:b/>
          <w:bCs/>
          <w:color w:val="auto"/>
          <w:sz w:val="24"/>
          <w:highlight w:val="none"/>
        </w:rPr>
        <w:outlineLvl w:val="1"/>
      </w:pPr>
      <w:r/>
      <w:bookmarkStart w:id="239" w:name="_Ref467306676"/>
      <w:r/>
      <w:bookmarkStart w:id="240" w:name="_Toc516367022"/>
      <w:r/>
      <w:bookmarkStart w:id="241" w:name="_Ref467306195"/>
      <w:r/>
      <w:bookmarkStart w:id="242" w:name="_Toc127161442"/>
      <w:r/>
      <w:bookmarkStart w:id="243" w:name="_Toc195842893"/>
      <w:r/>
      <w:bookmarkStart w:id="244" w:name="_Toc226965801"/>
      <w:r/>
      <w:bookmarkStart w:id="245" w:name="_Toc142311030"/>
      <w:r/>
      <w:bookmarkStart w:id="246" w:name="_Toc305158796"/>
      <w:r/>
      <w:bookmarkStart w:id="247" w:name="_Toc149720821"/>
      <w:r/>
      <w:bookmarkStart w:id="248" w:name="_Toc151193916"/>
      <w:r/>
      <w:bookmarkStart w:id="249" w:name="_Toc151193698"/>
      <w:r/>
      <w:bookmarkStart w:id="250" w:name="_Toc264969218"/>
      <w:r/>
      <w:bookmarkStart w:id="251" w:name="_Toc150509279"/>
      <w:r/>
      <w:bookmarkStart w:id="252" w:name="_Toc151193626"/>
      <w:r/>
      <w:bookmarkStart w:id="253" w:name="_Toc265228366"/>
      <w:r/>
      <w:bookmarkStart w:id="254" w:name="_Toc127151528"/>
      <w:r/>
      <w:bookmarkStart w:id="255" w:name="_Toc150774628"/>
      <w:r/>
      <w:bookmarkStart w:id="256" w:name="_Toc164229369"/>
      <w:r/>
      <w:bookmarkStart w:id="257" w:name="_Toc164608642"/>
      <w:r/>
      <w:bookmarkStart w:id="258" w:name="_Toc226337224"/>
      <w:r/>
      <w:bookmarkStart w:id="259" w:name="_Toc151193842"/>
      <w:r/>
      <w:bookmarkStart w:id="260" w:name="_Toc164229223"/>
      <w:r/>
      <w:bookmarkStart w:id="261" w:name="_Toc151190155"/>
      <w:r/>
      <w:bookmarkStart w:id="262" w:name="_Toc226965718"/>
      <w:r/>
      <w:bookmarkStart w:id="263" w:name="_Toc150774733"/>
      <w:r/>
      <w:bookmarkStart w:id="264" w:name="_Toc127151729"/>
      <w:r/>
      <w:bookmarkStart w:id="265" w:name="_Toc305158870"/>
      <w:r/>
      <w:bookmarkStart w:id="266" w:name="_Toc164608797"/>
      <w:r/>
      <w:bookmarkStart w:id="267" w:name="_Toc164351622"/>
      <w:r/>
      <w:bookmarkStart w:id="268" w:name="_Toc226309772"/>
      <w:r/>
      <w:bookmarkStart w:id="269" w:name="_Toc151193770"/>
      <w:r/>
      <w:bookmarkStart w:id="270" w:name="_Toc520356152"/>
      <w:r/>
      <w:bookmarkStart w:id="271" w:name="_Toc150480766"/>
      <w:r>
        <w:rPr>
          <w:rFonts w:hint="eastAsia" w:ascii="宋体" w:hAnsi="宋体" w:cs="宋体"/>
          <w:b/>
          <w:bCs/>
          <w:color w:val="auto"/>
          <w:sz w:val="24"/>
          <w:highlight w:val="none"/>
        </w:rPr>
        <w:t xml:space="preserve">9响应文件</w:t>
      </w:r>
      <w:bookmarkEnd w:id="239"/>
      <w:r/>
      <w:bookmarkEnd w:id="240"/>
      <w:r/>
      <w:bookmarkEnd w:id="241"/>
      <w:r>
        <w:rPr>
          <w:rFonts w:hint="eastAsia" w:ascii="宋体" w:hAnsi="宋体" w:cs="宋体"/>
          <w:b/>
          <w:bCs/>
          <w:color w:val="auto"/>
          <w:sz w:val="24"/>
          <w:highlight w:val="none"/>
        </w:rPr>
        <w:t xml:space="preserve">构成</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272" w:name="_Ref467052588"/>
      <w:r>
        <w:rPr>
          <w:rFonts w:hint="eastAsia" w:ascii="宋体" w:hAnsi="宋体" w:cs="宋体"/>
          <w:color w:val="auto"/>
          <w:sz w:val="24"/>
          <w:highlight w:val="none"/>
        </w:rPr>
        <w:t xml:space="preserve">9.1供应商应当按照竞争性磋商文件的要求编制响应文件，并对其提交的响应文件的真实性、合法性承担法律责任。响应文件的部分格式要求，见第六章《响应文件格式》。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9.3第三章《评审方法和评审标准》中涉及的证明文件。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9.5供应商认为应附的其他材料。</w:t>
      </w:r>
      <w:bookmarkEnd w:id="272"/>
      <w:r/>
      <w:r/>
    </w:p>
    <w:p>
      <w:pPr>
        <w:ind w:firstLine="482"/>
        <w:spacing w:line="360" w:lineRule="auto"/>
        <w:tabs>
          <w:tab w:val="left" w:pos="360" w:leader="none"/>
        </w:tabs>
        <w:rPr>
          <w:rFonts w:ascii="宋体" w:hAnsi="宋体" w:cs="宋体"/>
          <w:b/>
          <w:bCs/>
          <w:color w:val="auto"/>
          <w:sz w:val="24"/>
          <w:highlight w:val="none"/>
        </w:rPr>
        <w:outlineLvl w:val="1"/>
      </w:pPr>
      <w:r/>
      <w:bookmarkStart w:id="273" w:name="_Toc149720823"/>
      <w:r/>
      <w:bookmarkStart w:id="274" w:name="_Toc164229371"/>
      <w:r/>
      <w:bookmarkStart w:id="275" w:name="_Toc151193918"/>
      <w:r/>
      <w:bookmarkStart w:id="276" w:name="_Toc195842895"/>
      <w:r/>
      <w:bookmarkStart w:id="277" w:name="_Toc151193772"/>
      <w:r/>
      <w:bookmarkStart w:id="278" w:name="_Toc164351624"/>
      <w:r/>
      <w:bookmarkStart w:id="279" w:name="_Toc164229225"/>
      <w:r/>
      <w:bookmarkStart w:id="280" w:name="_Toc150774735"/>
      <w:r/>
      <w:bookmarkStart w:id="281" w:name="_Toc151193700"/>
      <w:r/>
      <w:bookmarkStart w:id="282" w:name="_Toc127151731"/>
      <w:r/>
      <w:bookmarkStart w:id="283" w:name="_Toc142311032"/>
      <w:r/>
      <w:bookmarkStart w:id="284" w:name="_Toc164608799"/>
      <w:r/>
      <w:bookmarkStart w:id="285" w:name="_Toc164608644"/>
      <w:r/>
      <w:bookmarkStart w:id="286" w:name="_Toc127161444"/>
      <w:r/>
      <w:bookmarkStart w:id="287" w:name="_Toc151190157"/>
      <w:r/>
      <w:bookmarkStart w:id="288" w:name="_Toc150509281"/>
      <w:r/>
      <w:bookmarkStart w:id="289" w:name="_Toc151193844"/>
      <w:r/>
      <w:bookmarkStart w:id="290" w:name="_Toc127151530"/>
      <w:r/>
      <w:bookmarkStart w:id="291" w:name="_Toc520356155"/>
      <w:r/>
      <w:bookmarkStart w:id="292" w:name="_Toc150480768"/>
      <w:r/>
      <w:bookmarkStart w:id="293" w:name="_Toc150774630"/>
      <w:r/>
      <w:bookmarkStart w:id="294" w:name="_Toc151193628"/>
      <w:r>
        <w:rPr>
          <w:rFonts w:hint="eastAsia" w:ascii="宋体" w:hAnsi="宋体" w:cs="宋体"/>
          <w:b/>
          <w:bCs/>
          <w:color w:val="auto"/>
          <w:sz w:val="24"/>
          <w:highlight w:val="none"/>
        </w:rPr>
        <w:t xml:space="preserve">10报价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10.1所有响应均以人民币报价。</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10.2供应商的报价应包括为完成本项目所发生的一切费用和税费，采购人将不再支付报价以外的任何费用。供应商的报价应包括但不限于下列内容，《供应商须知资料表》中有特殊规定的，从其规定。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10.2.2按照竞争性磋商文件要求完成本项目的全部相关工程或服务费用。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10.3</w:t>
      </w:r>
      <w:r>
        <w:rPr>
          <w:rFonts w:hint="eastAsia" w:ascii="宋体" w:hAnsi="宋体" w:cs="宋体"/>
          <w:b/>
          <w:bCs/>
          <w:color w:val="auto"/>
          <w:sz w:val="24"/>
          <w:highlight w:val="none"/>
        </w:rPr>
        <w:t xml:space="preserve">报价次数：2次报价</w:t>
      </w:r>
      <w:r>
        <w:rPr>
          <w:rFonts w:hint="eastAsia" w:ascii="宋体" w:hAnsi="宋体" w:cs="宋体"/>
          <w:color w:val="auto"/>
          <w:sz w:val="24"/>
          <w:highlight w:val="none"/>
        </w:rPr>
        <w:t xml:space="preserve">，响应文件中的报价作为首次报价，磋商小组应当要求所有实质性响应的供应商在规定时间内提交最后报价，最后报价作为评分依据。</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10.4采购人不得向供应商索要或者接受其给予的赠品、回扣或者与采购无关的其他商品、服务。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10.5供应商不能提供任何有选择性或可调整的最终报价（竞争性磋商文件另有规定的除外），否则其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11磋商保证金</w:t>
      </w:r>
      <w:r/>
    </w:p>
    <w:p>
      <w:pPr>
        <w:ind w:firstLine="480"/>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根据江苏省和常州市的相关文件规定，免收保证金。</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12响应有效期</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12.1响应文件应在本竞争性磋商文件《供应商须知资料表》中规定的响应有效期内保持有效，响应有效期少于竞争性磋商文件规定期限的，其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bookmarkStart w:id="295" w:name="_Toc164608802"/>
      <w:r/>
      <w:bookmarkStart w:id="296" w:name="_Toc149720826"/>
      <w:r/>
      <w:bookmarkStart w:id="297" w:name="_Toc520356158"/>
      <w:r/>
      <w:bookmarkStart w:id="298" w:name="_Toc164608647"/>
      <w:r/>
      <w:bookmarkStart w:id="299" w:name="_Toc164229374"/>
      <w:r/>
      <w:bookmarkStart w:id="300" w:name="_Toc151193703"/>
      <w:r/>
      <w:bookmarkStart w:id="301" w:name="_Toc151193775"/>
      <w:r/>
      <w:bookmarkStart w:id="302" w:name="_Toc226965723"/>
      <w:r/>
      <w:bookmarkStart w:id="303" w:name="_Toc164351627"/>
      <w:r/>
      <w:bookmarkStart w:id="304" w:name="_Toc264969223"/>
      <w:r/>
      <w:bookmarkStart w:id="305" w:name="_Toc305158801"/>
      <w:r/>
      <w:bookmarkStart w:id="306" w:name="_Toc151190160"/>
      <w:r/>
      <w:bookmarkStart w:id="307" w:name="_Toc150774633"/>
      <w:r/>
      <w:bookmarkStart w:id="308" w:name="_Toc127151734"/>
      <w:r/>
      <w:bookmarkStart w:id="309" w:name="_Toc127151533"/>
      <w:r/>
      <w:bookmarkStart w:id="310" w:name="_Toc226337229"/>
      <w:r/>
      <w:bookmarkStart w:id="311" w:name="_Toc164229228"/>
      <w:r/>
      <w:bookmarkStart w:id="312" w:name="_Toc142311035"/>
      <w:r/>
      <w:bookmarkStart w:id="313" w:name="_Toc150509284"/>
      <w:r/>
      <w:bookmarkStart w:id="314" w:name="_Toc305158875"/>
      <w:r/>
      <w:bookmarkStart w:id="315" w:name="_Toc151193921"/>
      <w:r/>
      <w:bookmarkStart w:id="316" w:name="_Toc151193847"/>
      <w:r/>
      <w:bookmarkStart w:id="317" w:name="_Toc265228371"/>
      <w:r/>
      <w:bookmarkStart w:id="318" w:name="_Toc150480771"/>
      <w:r/>
      <w:bookmarkStart w:id="319" w:name="_Toc226309777"/>
      <w:r/>
      <w:bookmarkStart w:id="320" w:name="_Toc150774738"/>
      <w:r/>
      <w:bookmarkStart w:id="321" w:name="_Toc127161447"/>
      <w:r/>
      <w:bookmarkStart w:id="322" w:name="_Toc195842898"/>
      <w:r/>
      <w:bookmarkStart w:id="323" w:name="_Toc226965806"/>
      <w:r/>
      <w:bookmarkStart w:id="324" w:name="_Toc151193631"/>
      <w:r>
        <w:rPr>
          <w:rFonts w:hint="eastAsia" w:ascii="宋体" w:hAnsi="宋体" w:cs="宋体"/>
          <w:b/>
          <w:bCs/>
          <w:color w:val="auto"/>
          <w:sz w:val="24"/>
          <w:highlight w:val="none"/>
        </w:rPr>
        <w:t xml:space="preserve">13响应文件的签署</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b/>
          <w:bCs/>
          <w:color w:val="auto"/>
          <w:sz w:val="24"/>
          <w:highlight w:val="none"/>
        </w:rPr>
        <w:t xml:space="preserve">、盖章</w:t>
      </w:r>
      <w:r/>
    </w:p>
    <w:p>
      <w:pPr>
        <w:numPr>
          <w:ilvl w:val="1"/>
          <w:numId w:val="0"/>
        </w:numPr>
        <w:ind w:firstLine="480"/>
        <w:spacing w:line="360" w:lineRule="auto"/>
        <w:tabs>
          <w:tab w:val="left" w:pos="1080" w:leader="none"/>
        </w:tabs>
        <w:rPr>
          <w:rFonts w:ascii="宋体" w:hAnsi="宋体" w:cs="宋体"/>
          <w:color w:val="auto"/>
          <w:sz w:val="24"/>
          <w:highlight w:val="none"/>
        </w:rPr>
      </w:pPr>
      <w:r/>
      <w:bookmarkStart w:id="325" w:name="_Toc127151534"/>
      <w:r/>
      <w:bookmarkStart w:id="326" w:name="_Toc151193632"/>
      <w:r/>
      <w:bookmarkStart w:id="327" w:name="_Toc226965724"/>
      <w:r/>
      <w:bookmarkStart w:id="328" w:name="_Toc151190161"/>
      <w:r/>
      <w:bookmarkStart w:id="329" w:name="_Toc264969224"/>
      <w:r/>
      <w:bookmarkStart w:id="330" w:name="_Toc151193922"/>
      <w:r/>
      <w:bookmarkStart w:id="331" w:name="_Toc151193704"/>
      <w:r/>
      <w:bookmarkStart w:id="332" w:name="_Toc226309778"/>
      <w:r/>
      <w:bookmarkStart w:id="333" w:name="_Toc226337230"/>
      <w:r/>
      <w:bookmarkStart w:id="334" w:name="_Toc151193848"/>
      <w:r/>
      <w:bookmarkStart w:id="335" w:name="_Toc150774739"/>
      <w:r/>
      <w:bookmarkStart w:id="336" w:name="_Toc226965807"/>
      <w:r/>
      <w:bookmarkStart w:id="337" w:name="_Toc142311036"/>
      <w:r/>
      <w:bookmarkStart w:id="338" w:name="_Toc265228372"/>
      <w:r/>
      <w:bookmarkStart w:id="339" w:name="_Toc151193776"/>
      <w:r/>
      <w:bookmarkStart w:id="340" w:name="_Toc520356159"/>
      <w:r/>
      <w:bookmarkStart w:id="341" w:name="_Toc305158876"/>
      <w:r/>
      <w:bookmarkStart w:id="342" w:name="_Toc195842899"/>
      <w:r/>
      <w:bookmarkStart w:id="343" w:name="_Toc150774634"/>
      <w:r/>
      <w:bookmarkStart w:id="344" w:name="_Toc305158802"/>
      <w:r/>
      <w:bookmarkStart w:id="345" w:name="_Toc150509285"/>
      <w:r/>
      <w:bookmarkStart w:id="346" w:name="_Toc150480772"/>
      <w:r>
        <w:rPr>
          <w:rFonts w:hint="eastAsia" w:ascii="宋体" w:hAnsi="宋体" w:cs="宋体"/>
          <w:color w:val="auto"/>
          <w:sz w:val="24"/>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13.2竞争性磋商文件要求盖章的内容，一般通过投标文件编制工具加盖电子签章。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16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2"/>
        <w:spacing w:line="360" w:lineRule="auto"/>
        <w:tabs>
          <w:tab w:val="left" w:pos="360" w:leader="none"/>
        </w:tabs>
        <w:rPr>
          <w:rFonts w:ascii="宋体" w:hAnsi="宋体" w:cs="宋体"/>
          <w:b/>
          <w:bCs/>
          <w:color w:val="auto"/>
          <w:sz w:val="24"/>
          <w:highlight w:val="none"/>
        </w:rPr>
        <w:outlineLvl w:val="1"/>
      </w:pPr>
      <w:r/>
      <w:bookmarkStart w:id="347" w:name="_Toc305158877"/>
      <w:r/>
      <w:bookmarkStart w:id="348" w:name="_Toc150774740"/>
      <w:r/>
      <w:bookmarkStart w:id="349" w:name="_Toc127161449"/>
      <w:r/>
      <w:bookmarkStart w:id="350" w:name="_Toc150480773"/>
      <w:r/>
      <w:bookmarkStart w:id="351" w:name="_Toc265228373"/>
      <w:r/>
      <w:bookmarkStart w:id="352" w:name="_Toc151190162"/>
      <w:r/>
      <w:bookmarkStart w:id="353" w:name="_Toc127151535"/>
      <w:r/>
      <w:bookmarkStart w:id="354" w:name="_Toc149720828"/>
      <w:r/>
      <w:bookmarkStart w:id="355" w:name="_Toc226965725"/>
      <w:r/>
      <w:bookmarkStart w:id="356" w:name="_Toc164608649"/>
      <w:r/>
      <w:bookmarkStart w:id="357" w:name="_Toc305158803"/>
      <w:r/>
      <w:bookmarkStart w:id="358" w:name="_Toc151193849"/>
      <w:r/>
      <w:bookmarkStart w:id="359" w:name="_Toc264969225"/>
      <w:r/>
      <w:bookmarkStart w:id="360" w:name="_Toc150774635"/>
      <w:r/>
      <w:bookmarkStart w:id="361" w:name="_Toc226309779"/>
      <w:r/>
      <w:bookmarkStart w:id="362" w:name="_Toc150509286"/>
      <w:r/>
      <w:bookmarkStart w:id="363" w:name="_Toc164229230"/>
      <w:r/>
      <w:bookmarkStart w:id="364" w:name="_Toc226337231"/>
      <w:r/>
      <w:bookmarkStart w:id="365" w:name="_Toc520356160"/>
      <w:r/>
      <w:bookmarkStart w:id="366" w:name="_Toc164351629"/>
      <w:r/>
      <w:bookmarkStart w:id="367" w:name="_Toc151193633"/>
      <w:r/>
      <w:bookmarkStart w:id="368" w:name="_Toc151193777"/>
      <w:r/>
      <w:bookmarkStart w:id="369" w:name="_Toc226965808"/>
      <w:r/>
      <w:bookmarkStart w:id="370" w:name="_Toc195842900"/>
      <w:r/>
      <w:bookmarkStart w:id="371" w:name="_Toc164229376"/>
      <w:r/>
      <w:bookmarkStart w:id="372" w:name="_Toc142311037"/>
      <w:r/>
      <w:bookmarkStart w:id="373" w:name="_Toc151193705"/>
      <w:r/>
      <w:bookmarkStart w:id="374" w:name="_Toc127151736"/>
      <w:r/>
      <w:bookmarkStart w:id="375" w:name="_Toc164608804"/>
      <w:r/>
      <w:bookmarkStart w:id="376" w:name="_Toc151193923"/>
      <w:r>
        <w:rPr>
          <w:rFonts w:hint="eastAsia" w:ascii="宋体" w:hAnsi="宋体" w:cs="宋体"/>
          <w:b/>
          <w:bCs/>
          <w:color w:val="auto"/>
          <w:sz w:val="24"/>
          <w:highlight w:val="none"/>
        </w:rPr>
        <w:t xml:space="preserve">14响应文件的</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rFonts w:hint="eastAsia" w:ascii="宋体" w:hAnsi="宋体" w:cs="宋体"/>
          <w:b/>
          <w:bCs/>
          <w:color w:val="auto"/>
          <w:sz w:val="24"/>
          <w:highlight w:val="none"/>
        </w:rPr>
        <w:t xml:space="preserve">提交</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14.1本项目使用“苏采云”政府采购一体化平台。供应商根据竞争性磋商文件及“苏采云”政府采购一体化平台供应商操作手册要求编制、生成并提交电子响应文件。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14.2采购人及采购代理机构拒绝接受通过电子交易平台以外任何形式提交的响应文件，磋商保证金除外。</w:t>
      </w:r>
      <w:r/>
    </w:p>
    <w:p>
      <w:pPr>
        <w:ind w:firstLine="482"/>
        <w:spacing w:line="360" w:lineRule="auto"/>
        <w:tabs>
          <w:tab w:val="left" w:pos="360" w:leader="none"/>
        </w:tabs>
        <w:rPr>
          <w:rFonts w:ascii="宋体" w:hAnsi="宋体" w:cs="宋体"/>
          <w:color w:val="auto"/>
          <w:sz w:val="24"/>
          <w:highlight w:val="none"/>
        </w:rPr>
        <w:outlineLvl w:val="1"/>
      </w:pPr>
      <w:r/>
      <w:bookmarkStart w:id="377" w:name="_Toc151193706"/>
      <w:r/>
      <w:bookmarkStart w:id="378" w:name="_Toc150774741"/>
      <w:r/>
      <w:bookmarkStart w:id="379" w:name="_Toc150774636"/>
      <w:r/>
      <w:bookmarkStart w:id="380" w:name="_Toc150480774"/>
      <w:r/>
      <w:bookmarkStart w:id="381" w:name="_Toc149720829"/>
      <w:r/>
      <w:bookmarkStart w:id="382" w:name="_Toc164351630"/>
      <w:r/>
      <w:bookmarkStart w:id="383" w:name="_Toc164229377"/>
      <w:r/>
      <w:bookmarkStart w:id="384" w:name="_Toc195842901"/>
      <w:r/>
      <w:bookmarkStart w:id="385" w:name="_Toc150509287"/>
      <w:r/>
      <w:bookmarkStart w:id="386" w:name="_Toc264969226"/>
      <w:r/>
      <w:bookmarkStart w:id="387" w:name="_Toc151193778"/>
      <w:r/>
      <w:bookmarkStart w:id="388" w:name="_Toc127151737"/>
      <w:r/>
      <w:bookmarkStart w:id="389" w:name="_Toc265228374"/>
      <w:r/>
      <w:bookmarkStart w:id="390" w:name="_Toc151190163"/>
      <w:r/>
      <w:bookmarkStart w:id="391" w:name="_Toc305158878"/>
      <w:r/>
      <w:bookmarkStart w:id="392" w:name="_Toc305158804"/>
      <w:r/>
      <w:bookmarkStart w:id="393" w:name="_Toc151193850"/>
      <w:r/>
      <w:bookmarkStart w:id="394" w:name="_Toc151193924"/>
      <w:r/>
      <w:bookmarkStart w:id="395" w:name="_Toc226965726"/>
      <w:r/>
      <w:bookmarkStart w:id="396" w:name="_Toc226309780"/>
      <w:r/>
      <w:bookmarkStart w:id="397" w:name="_Toc164608805"/>
      <w:r/>
      <w:bookmarkStart w:id="398" w:name="_Toc142311038"/>
      <w:r/>
      <w:bookmarkStart w:id="399" w:name="_Toc164608650"/>
      <w:r/>
      <w:bookmarkStart w:id="400" w:name="_Toc151193634"/>
      <w:r/>
      <w:bookmarkStart w:id="401" w:name="_Toc127151536"/>
      <w:r/>
      <w:bookmarkStart w:id="402" w:name="_Toc520356161"/>
      <w:r/>
      <w:bookmarkStart w:id="403" w:name="_Toc226337232"/>
      <w:r/>
      <w:bookmarkStart w:id="404" w:name="_Toc164229231"/>
      <w:r/>
      <w:bookmarkStart w:id="405" w:name="_Toc226965809"/>
      <w:r/>
      <w:bookmarkStart w:id="406" w:name="_Toc127161450"/>
      <w:r>
        <w:rPr>
          <w:rFonts w:hint="eastAsia" w:ascii="宋体" w:hAnsi="宋体" w:cs="宋体"/>
          <w:b/>
          <w:bCs/>
          <w:color w:val="auto"/>
          <w:sz w:val="24"/>
          <w:highlight w:val="none"/>
        </w:rPr>
        <w:t xml:space="preserve">15响应文件截止</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bCs/>
          <w:color w:val="auto"/>
          <w:sz w:val="24"/>
          <w:highlight w:val="none"/>
        </w:rPr>
        <w:t xml:space="preserve">时间</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15.1供应商应在竞争性磋商文件要求提交响应文件截止时间前，将电子响应文件提交至“苏采云”政府采购一体化平台。</w:t>
      </w:r>
      <w:r/>
    </w:p>
    <w:p>
      <w:pPr>
        <w:ind w:firstLine="482"/>
        <w:spacing w:line="360" w:lineRule="auto"/>
        <w:tabs>
          <w:tab w:val="left" w:pos="360" w:leader="none"/>
        </w:tabs>
        <w:rPr>
          <w:rFonts w:ascii="宋体" w:hAnsi="宋体" w:cs="宋体"/>
          <w:b/>
          <w:bCs/>
          <w:color w:val="auto"/>
          <w:sz w:val="24"/>
          <w:highlight w:val="none"/>
        </w:rPr>
        <w:outlineLvl w:val="1"/>
      </w:pPr>
      <w:r/>
      <w:bookmarkStart w:id="407" w:name="_Toc164229232"/>
      <w:r/>
      <w:bookmarkStart w:id="408" w:name="_Toc150774637"/>
      <w:r/>
      <w:bookmarkStart w:id="409" w:name="_Toc151193707"/>
      <w:r/>
      <w:bookmarkStart w:id="410" w:name="_Toc149720830"/>
      <w:r/>
      <w:bookmarkStart w:id="411" w:name="_Toc150480775"/>
      <w:r/>
      <w:bookmarkStart w:id="412" w:name="_Toc151190164"/>
      <w:r/>
      <w:bookmarkStart w:id="413" w:name="_Toc195842902"/>
      <w:r/>
      <w:bookmarkStart w:id="414" w:name="_Toc142311039"/>
      <w:r/>
      <w:bookmarkStart w:id="415" w:name="_Toc164229378"/>
      <w:r/>
      <w:bookmarkStart w:id="416" w:name="_Toc305158879"/>
      <w:r/>
      <w:bookmarkStart w:id="417" w:name="_Toc127151537"/>
      <w:r/>
      <w:bookmarkStart w:id="418" w:name="_Toc150774742"/>
      <w:r/>
      <w:bookmarkStart w:id="419" w:name="_Toc164351631"/>
      <w:r/>
      <w:bookmarkStart w:id="420" w:name="_Toc264969227"/>
      <w:r/>
      <w:bookmarkStart w:id="421" w:name="_Toc226337233"/>
      <w:r/>
      <w:bookmarkStart w:id="422" w:name="_Toc226965727"/>
      <w:r/>
      <w:bookmarkStart w:id="423" w:name="_Toc520356162"/>
      <w:r/>
      <w:bookmarkStart w:id="424" w:name="_Toc127161451"/>
      <w:r/>
      <w:bookmarkStart w:id="425" w:name="_Toc127151738"/>
      <w:r/>
      <w:bookmarkStart w:id="426" w:name="_Toc226309781"/>
      <w:r/>
      <w:bookmarkStart w:id="427" w:name="_Toc150509288"/>
      <w:r/>
      <w:bookmarkStart w:id="428" w:name="_Toc151193925"/>
      <w:r/>
      <w:bookmarkStart w:id="429" w:name="_Toc226965810"/>
      <w:r/>
      <w:bookmarkStart w:id="430" w:name="_Toc151193635"/>
      <w:r/>
      <w:bookmarkStart w:id="431" w:name="_Toc151193779"/>
      <w:r/>
      <w:bookmarkStart w:id="432" w:name="_Toc164608651"/>
      <w:r/>
      <w:bookmarkStart w:id="433" w:name="_Toc151193851"/>
      <w:r/>
      <w:bookmarkStart w:id="434" w:name="_Toc305158805"/>
      <w:r/>
      <w:bookmarkStart w:id="435" w:name="_Toc164608806"/>
      <w:r/>
      <w:bookmarkStart w:id="436" w:name="_Toc265228375"/>
      <w:r>
        <w:rPr>
          <w:rFonts w:hint="eastAsia" w:ascii="宋体" w:hAnsi="宋体" w:cs="宋体"/>
          <w:b/>
          <w:bCs/>
          <w:color w:val="auto"/>
          <w:sz w:val="24"/>
          <w:highlight w:val="none"/>
        </w:rPr>
        <w:t xml:space="preserve">16响应文件的修改与撤回</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pStyle w:val="1164"/>
        <w:spacing w:before="0" w:line="360" w:lineRule="auto"/>
        <w:rPr>
          <w:rFonts w:ascii="Times New Roman" w:hAnsi="Times New Roman" w:eastAsia="宋体"/>
          <w:color w:val="auto"/>
          <w:sz w:val="28"/>
          <w:highlight w:val="none"/>
        </w:rPr>
      </w:pPr>
      <w:r/>
      <w:bookmarkStart w:id="437" w:name="_Toc305158806"/>
      <w:r/>
      <w:bookmarkStart w:id="438" w:name="_Toc520356163"/>
      <w:r/>
      <w:bookmarkStart w:id="439" w:name="_Toc151193926"/>
      <w:r/>
      <w:bookmarkStart w:id="440" w:name="_Toc151190165"/>
      <w:r/>
      <w:bookmarkStart w:id="441" w:name="_Toc265228376"/>
      <w:r/>
      <w:bookmarkStart w:id="442" w:name="_Toc226337234"/>
      <w:r/>
      <w:bookmarkStart w:id="443" w:name="_Toc127151538"/>
      <w:r/>
      <w:bookmarkStart w:id="444" w:name="_Toc150774638"/>
      <w:r/>
      <w:bookmarkStart w:id="445" w:name="_Toc142311040"/>
      <w:r/>
      <w:bookmarkStart w:id="446" w:name="_Toc150774743"/>
      <w:r/>
      <w:bookmarkStart w:id="447" w:name="_Toc195842903"/>
      <w:r/>
      <w:bookmarkStart w:id="448" w:name="_Toc305158880"/>
      <w:r/>
      <w:bookmarkStart w:id="449" w:name="_Toc226965728"/>
      <w:r/>
      <w:bookmarkStart w:id="450" w:name="_Toc150509289"/>
      <w:r/>
      <w:bookmarkStart w:id="451" w:name="_Toc151193708"/>
      <w:r/>
      <w:bookmarkStart w:id="452" w:name="_Toc226309782"/>
      <w:r/>
      <w:bookmarkStart w:id="453" w:name="_Toc150480776"/>
      <w:r/>
      <w:bookmarkStart w:id="454" w:name="_Toc226965811"/>
      <w:r/>
      <w:bookmarkStart w:id="455" w:name="_Toc151193852"/>
      <w:r/>
      <w:bookmarkStart w:id="456" w:name="_Toc264969228"/>
      <w:r/>
      <w:bookmarkStart w:id="457" w:name="_Toc151193636"/>
      <w:r/>
      <w:bookmarkStart w:id="458" w:name="_Toc151193780"/>
      <w:r>
        <w:rPr>
          <w:rFonts w:ascii="Times New Roman" w:hAnsi="Times New Roman" w:eastAsia="宋体"/>
          <w:color w:val="auto"/>
          <w:sz w:val="28"/>
          <w:highlight w:val="none"/>
        </w:rPr>
        <w:t xml:space="preserve">五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ascii="Times New Roman" w:hAnsi="Times New Roman" w:eastAsia="宋体"/>
          <w:color w:val="auto"/>
          <w:sz w:val="28"/>
          <w:highlight w:val="none"/>
        </w:rPr>
        <w:t xml:space="preserve">评审</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17响应文件的解密与开启</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17.1采购人或采购代理机构将按竞争性磋商文件的规定，在响应文件提交截止时间的同一时间和竞争性磋商文件预先确定的地点开启响应文件。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17.2本项目采用不见面交易模式，使用“苏采云”政府采购一体化平台在线进行解密。供应商应在规定的时间内对响应文件进行解密，因非系统原因导致的解密失败，视为</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17.3供应商不足3家的，不予解密。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459" w:name="_Toc520356165"/>
      <w:r>
        <w:rPr>
          <w:rFonts w:hint="eastAsia" w:ascii="宋体" w:hAnsi="宋体" w:cs="宋体"/>
          <w:color w:val="auto"/>
          <w:sz w:val="24"/>
          <w:highlight w:val="none"/>
        </w:rPr>
        <w:t xml:space="preserve">17.4本项目不公开报价。</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17.7如果在采购活动过程中出现以下情形，导致“苏采云”政府采购一体化平台无法正常运行，或者无法保证本项目采购活动的公平、公正和安全时，代理机构可以延缓或者暂停采购活动，情况严重的可以终止采购活动： 1)平台系统发生故障而无法登录访问的；</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9"/>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18磋商小组</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18.1磋商小组根据政府采购有关规定和本次采购项目的特点进行组建，并负责具体评审事务，独立履行职责。</w:t>
      </w:r>
      <w:bookmarkStart w:id="460" w:name="_Toc520356166"/>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18.2评审专家须符合相关规定。依法自行选定评审专家的，采购人和采购代理机构将查询有关信用记录，对具有行贿、受贿、欺诈等不良信用记录的人员，拒绝其参与政府采购活动。</w:t>
      </w:r>
      <w:bookmarkEnd w:id="460"/>
      <w:r/>
      <w:bookmarkStart w:id="461" w:name="_Toc520356169"/>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19评审方法和评审标准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19.1见第三章《评审方法和评审标准》。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64"/>
        <w:spacing w:before="0" w:line="360" w:lineRule="auto"/>
        <w:rPr>
          <w:rFonts w:ascii="Times New Roman" w:hAnsi="Times New Roman" w:eastAsia="宋体"/>
          <w:color w:val="auto"/>
          <w:sz w:val="28"/>
          <w:highlight w:val="none"/>
        </w:rPr>
      </w:pPr>
      <w:r/>
      <w:bookmarkStart w:id="462" w:name="_Toc151193787"/>
      <w:r/>
      <w:bookmarkStart w:id="463" w:name="_Toc195842910"/>
      <w:r/>
      <w:bookmarkStart w:id="464" w:name="_Toc150480783"/>
      <w:r/>
      <w:bookmarkStart w:id="465" w:name="_Toc226337241"/>
      <w:r/>
      <w:bookmarkStart w:id="466" w:name="_Toc150774750"/>
      <w:r/>
      <w:bookmarkStart w:id="467" w:name="_Toc151193715"/>
      <w:r/>
      <w:bookmarkStart w:id="468" w:name="_Toc264969235"/>
      <w:r/>
      <w:bookmarkStart w:id="469" w:name="_Toc226309789"/>
      <w:r/>
      <w:bookmarkStart w:id="470" w:name="_Toc150774645"/>
      <w:r/>
      <w:bookmarkStart w:id="471" w:name="_Toc226965735"/>
      <w:r/>
      <w:bookmarkStart w:id="472" w:name="_Toc150509296"/>
      <w:r/>
      <w:bookmarkStart w:id="473" w:name="_Toc142311047"/>
      <w:r/>
      <w:bookmarkStart w:id="474" w:name="_Toc151190172"/>
      <w:r/>
      <w:bookmarkStart w:id="475" w:name="_Toc305158813"/>
      <w:r/>
      <w:bookmarkStart w:id="476" w:name="_Toc305158887"/>
      <w:r/>
      <w:bookmarkStart w:id="477" w:name="_Toc151193933"/>
      <w:r/>
      <w:bookmarkStart w:id="478" w:name="_Toc265228383"/>
      <w:r/>
      <w:bookmarkStart w:id="479" w:name="_Toc127151545"/>
      <w:r/>
      <w:bookmarkStart w:id="480" w:name="_Toc151193643"/>
      <w:r/>
      <w:bookmarkStart w:id="481" w:name="_Toc226965818"/>
      <w:r/>
      <w:bookmarkStart w:id="482" w:name="_Toc151193859"/>
      <w:r>
        <w:rPr>
          <w:rFonts w:ascii="Times New Roman" w:hAnsi="Times New Roman" w:eastAsia="宋体"/>
          <w:color w:val="auto"/>
          <w:sz w:val="28"/>
          <w:highlight w:val="none"/>
        </w:rPr>
        <w:t xml:space="preserve">六   </w:t>
      </w:r>
      <w:bookmarkEnd w:id="461"/>
      <w:r>
        <w:rPr>
          <w:rFonts w:ascii="Times New Roman" w:hAnsi="Times New Roman" w:eastAsia="宋体"/>
          <w:color w:val="auto"/>
          <w:sz w:val="28"/>
          <w:highlight w:val="none"/>
        </w:rP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ascii="Times New Roman" w:hAnsi="Times New Roman" w:eastAsia="宋体"/>
          <w:color w:val="auto"/>
          <w:sz w:val="28"/>
          <w:highlight w:val="none"/>
        </w:rPr>
        <w:t xml:space="preserve">成交</w:t>
      </w:r>
      <w:r/>
    </w:p>
    <w:p>
      <w:pPr>
        <w:ind w:firstLine="482"/>
        <w:spacing w:line="360" w:lineRule="auto"/>
        <w:tabs>
          <w:tab w:val="left" w:pos="360" w:leader="none"/>
        </w:tabs>
        <w:rPr>
          <w:rFonts w:ascii="宋体" w:hAnsi="宋体" w:cs="宋体"/>
          <w:b/>
          <w:bCs/>
          <w:color w:val="auto"/>
          <w:sz w:val="24"/>
          <w:highlight w:val="none"/>
        </w:rPr>
        <w:outlineLvl w:val="1"/>
      </w:pPr>
      <w:r/>
      <w:bookmarkStart w:id="483" w:name="_Toc264969237"/>
      <w:r/>
      <w:bookmarkStart w:id="484" w:name="_Toc226965737"/>
      <w:r/>
      <w:bookmarkStart w:id="485" w:name="_Toc150774647"/>
      <w:r/>
      <w:bookmarkStart w:id="486" w:name="_Toc149720840"/>
      <w:r/>
      <w:bookmarkStart w:id="487" w:name="_Toc305158815"/>
      <w:r/>
      <w:bookmarkStart w:id="488" w:name="_Toc151190174"/>
      <w:r/>
      <w:bookmarkStart w:id="489" w:name="_Toc151193861"/>
      <w:r/>
      <w:bookmarkStart w:id="490" w:name="_Toc164608661"/>
      <w:r/>
      <w:bookmarkStart w:id="491" w:name="_Toc142311049"/>
      <w:r/>
      <w:bookmarkStart w:id="492" w:name="_Toc127151547"/>
      <w:r/>
      <w:bookmarkStart w:id="493" w:name="_Toc164608816"/>
      <w:r/>
      <w:bookmarkStart w:id="494" w:name="_Toc226965820"/>
      <w:r/>
      <w:bookmarkStart w:id="495" w:name="_Toc150509298"/>
      <w:r/>
      <w:bookmarkStart w:id="496" w:name="_Toc150480785"/>
      <w:r/>
      <w:bookmarkStart w:id="497" w:name="_Toc305158889"/>
      <w:r/>
      <w:bookmarkStart w:id="498" w:name="_Toc151193645"/>
      <w:r/>
      <w:bookmarkStart w:id="499" w:name="_Toc265228385"/>
      <w:r/>
      <w:bookmarkStart w:id="500" w:name="_Toc195842912"/>
      <w:r/>
      <w:bookmarkStart w:id="501" w:name="_Toc164229242"/>
      <w:r/>
      <w:bookmarkStart w:id="502" w:name="_Toc164351641"/>
      <w:r/>
      <w:bookmarkStart w:id="503" w:name="_Toc164229388"/>
      <w:r/>
      <w:bookmarkStart w:id="504" w:name="_Toc151193789"/>
      <w:r/>
      <w:bookmarkStart w:id="505" w:name="_Toc226337243"/>
      <w:r/>
      <w:bookmarkStart w:id="506" w:name="_Toc226309791"/>
      <w:r/>
      <w:bookmarkStart w:id="507" w:name="_Toc151193935"/>
      <w:r/>
      <w:bookmarkStart w:id="508" w:name="_Toc127161461"/>
      <w:r/>
      <w:bookmarkStart w:id="509" w:name="_Toc151193717"/>
      <w:r/>
      <w:bookmarkStart w:id="510" w:name="_Toc150774752"/>
      <w:r/>
      <w:bookmarkStart w:id="511" w:name="_Toc127151748"/>
      <w:r>
        <w:rPr>
          <w:rFonts w:hint="eastAsia" w:ascii="宋体" w:hAnsi="宋体" w:cs="宋体"/>
          <w:b/>
          <w:bCs/>
          <w:color w:val="auto"/>
          <w:sz w:val="24"/>
          <w:highlight w:val="none"/>
        </w:rPr>
        <w:t xml:space="preserve">20确定成交供应商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20.1采购人将在收到评审报告后，从评审报告提出的成交候选供应商中，按照排序由高到低的原则确定成交供应商。成交候选人并列的，由采购人依法确定。</w:t>
      </w:r>
      <w:r/>
    </w:p>
    <w:p>
      <w:pPr>
        <w:ind w:firstLine="482"/>
        <w:spacing w:line="360" w:lineRule="auto"/>
        <w:tabs>
          <w:tab w:val="left" w:pos="360" w:leader="none"/>
        </w:tabs>
        <w:rPr>
          <w:rFonts w:ascii="宋体" w:hAnsi="宋体" w:cs="宋体"/>
          <w:b/>
          <w:bCs/>
          <w:color w:val="auto"/>
          <w:sz w:val="24"/>
          <w:highlight w:val="none"/>
        </w:rPr>
        <w:outlineLvl w:val="1"/>
      </w:pPr>
      <w:r/>
      <w:bookmarkStart w:id="512" w:name="_Toc305158817"/>
      <w:r/>
      <w:bookmarkStart w:id="513" w:name="_Toc305158891"/>
      <w:r/>
      <w:bookmarkStart w:id="514" w:name="_Toc164229244"/>
      <w:r/>
      <w:bookmarkStart w:id="515" w:name="_Toc226965739"/>
      <w:r/>
      <w:bookmarkStart w:id="516" w:name="_Toc151193863"/>
      <w:r/>
      <w:bookmarkStart w:id="517" w:name="_Toc150774754"/>
      <w:r/>
      <w:bookmarkStart w:id="518" w:name="_Toc226309793"/>
      <w:r/>
      <w:bookmarkStart w:id="519" w:name="_Toc150509300"/>
      <w:r/>
      <w:bookmarkStart w:id="520" w:name="_Toc151193937"/>
      <w:r/>
      <w:bookmarkStart w:id="521" w:name="_Toc151190176"/>
      <w:r/>
      <w:bookmarkStart w:id="522" w:name="_Toc265228387"/>
      <w:r/>
      <w:bookmarkStart w:id="523" w:name="_Toc226337245"/>
      <w:r/>
      <w:bookmarkStart w:id="524" w:name="_Toc164229390"/>
      <w:r/>
      <w:bookmarkStart w:id="525" w:name="_Toc149720842"/>
      <w:r/>
      <w:bookmarkStart w:id="526" w:name="_Toc127151549"/>
      <w:r/>
      <w:bookmarkStart w:id="527" w:name="_Toc127161463"/>
      <w:r/>
      <w:bookmarkStart w:id="528" w:name="_Toc195842914"/>
      <w:r/>
      <w:bookmarkStart w:id="529" w:name="_Toc150480787"/>
      <w:r/>
      <w:bookmarkStart w:id="530" w:name="_Toc164608663"/>
      <w:r/>
      <w:bookmarkStart w:id="531" w:name="_Toc151193719"/>
      <w:r/>
      <w:bookmarkStart w:id="532" w:name="_Toc151193647"/>
      <w:r/>
      <w:bookmarkStart w:id="533" w:name="_Toc142311051"/>
      <w:r/>
      <w:bookmarkStart w:id="534" w:name="_Toc150774649"/>
      <w:r/>
      <w:bookmarkStart w:id="535" w:name="_Toc164351643"/>
      <w:r/>
      <w:bookmarkStart w:id="536" w:name="_Toc127151750"/>
      <w:r/>
      <w:bookmarkStart w:id="537" w:name="_Toc151193791"/>
      <w:r/>
      <w:bookmarkStart w:id="538" w:name="_Toc164608818"/>
      <w:r/>
      <w:bookmarkStart w:id="539" w:name="_Toc226965822"/>
      <w:r/>
      <w:bookmarkStart w:id="540" w:name="_Toc264969239"/>
      <w:r/>
      <w:bookmarkStart w:id="541" w:name="_Toc520356176"/>
      <w:r/>
      <w:bookmarkStart w:id="542" w:name="_Ref467306425"/>
      <w:r/>
      <w:bookmarkStart w:id="543" w:name="_Ref467307090"/>
      <w:r>
        <w:rPr>
          <w:rFonts w:hint="eastAsia" w:ascii="宋体" w:hAnsi="宋体" w:cs="宋体"/>
          <w:b/>
          <w:bCs/>
          <w:color w:val="auto"/>
          <w:sz w:val="24"/>
          <w:highlight w:val="none"/>
        </w:rPr>
        <w:t xml:space="preserve">21成交公告与成交通知书</w:t>
      </w:r>
      <w:bookmarkEnd w:id="512"/>
      <w:r/>
      <w:bookmarkEnd w:id="513"/>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21.1采购人或采购代理机构将在成交供应商确定后2个工作日内，在常州市政府采购网公告成交结果，同时向成交供应商发出成交通知书，成交公告期限为1个工作日。</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21.2成交通知书是合同的组成部分，对采购人和成交供应商具有同等法律效力。成交通知书发出后，采购人改变成交结果的，或者成交供应商放弃成交项目的，将依法承担法律责任。</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中标/成交结果公示内容按照《政府采购公告和公示信息格式规范（2020年版）》（财办库【2020】50号规定的“中标（成交）结果公告”内容，供应商每项具体明细得分不是公告内容。</w:t>
      </w:r>
      <w:r/>
    </w:p>
    <w:p>
      <w:pPr>
        <w:ind w:firstLine="482"/>
        <w:spacing w:line="360" w:lineRule="auto"/>
        <w:tabs>
          <w:tab w:val="left" w:pos="360" w:leader="none"/>
        </w:tabs>
        <w:rPr>
          <w:rFonts w:ascii="宋体" w:hAnsi="宋体" w:cs="宋体"/>
          <w:color w:val="auto"/>
          <w:sz w:val="24"/>
          <w:highlight w:val="none"/>
        </w:rPr>
        <w:outlineLvl w:val="1"/>
      </w:pPr>
      <w:r>
        <w:rPr>
          <w:rFonts w:hint="eastAsia" w:ascii="宋体" w:hAnsi="宋体" w:cs="宋体"/>
          <w:b/>
          <w:bCs/>
          <w:color w:val="auto"/>
          <w:sz w:val="24"/>
          <w:highlight w:val="none"/>
        </w:rPr>
        <w:t xml:space="preserve">22终止</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22.1在采购中，出现下列情形之一的，采购人或采购代理机构将终止竞争性磋商采购活动，发布项目终止公告并说明原因，重新开展采购活动：</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22.1.1因情况变化，不再符合规定的竞争性磋商采购方式适用情形的；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22.1.2出现影响采购公正的违法、违规行为的；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22.1.4</w:t>
      </w: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出现序号17.7的所述情形，情况严重且影响采购活动公平、公正性的。</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p>
    <w:p>
      <w:pPr>
        <w:ind w:firstLine="482"/>
        <w:spacing w:line="360" w:lineRule="auto"/>
        <w:tabs>
          <w:tab w:val="left" w:pos="360" w:leader="none"/>
        </w:tabs>
        <w:rPr>
          <w:rFonts w:ascii="宋体" w:hAnsi="宋体" w:cs="宋体"/>
          <w:b/>
          <w:bCs/>
          <w:color w:val="auto"/>
          <w:sz w:val="24"/>
          <w:highlight w:val="none"/>
        </w:rPr>
        <w:outlineLvl w:val="1"/>
      </w:pPr>
      <w:r/>
      <w:bookmarkStart w:id="544" w:name="_Toc151193720"/>
      <w:r/>
      <w:bookmarkStart w:id="545" w:name="_Ref467307062"/>
      <w:r/>
      <w:bookmarkStart w:id="546" w:name="_Toc164351644"/>
      <w:r/>
      <w:bookmarkStart w:id="547" w:name="_Toc150774755"/>
      <w:r/>
      <w:bookmarkStart w:id="548" w:name="_Toc151193792"/>
      <w:r/>
      <w:bookmarkStart w:id="549" w:name="_Toc226337246"/>
      <w:r/>
      <w:bookmarkStart w:id="550" w:name="_Ref467306978"/>
      <w:r/>
      <w:bookmarkStart w:id="551" w:name="_Toc151190177"/>
      <w:r/>
      <w:bookmarkStart w:id="552" w:name="_Toc164608664"/>
      <w:r/>
      <w:bookmarkStart w:id="553" w:name="_Toc226965740"/>
      <w:r/>
      <w:bookmarkStart w:id="554" w:name="_Toc151193938"/>
      <w:r/>
      <w:bookmarkStart w:id="555" w:name="_Toc150774650"/>
      <w:r/>
      <w:bookmarkStart w:id="556" w:name="_Toc520356175"/>
      <w:r/>
      <w:bookmarkStart w:id="557" w:name="_Toc127161464"/>
      <w:r/>
      <w:bookmarkStart w:id="558" w:name="_Toc150509301"/>
      <w:r/>
      <w:bookmarkStart w:id="559" w:name="_Toc150480788"/>
      <w:r/>
      <w:bookmarkStart w:id="560" w:name="_Toc127151751"/>
      <w:r/>
      <w:bookmarkStart w:id="561" w:name="_Toc151193864"/>
      <w:r/>
      <w:bookmarkStart w:id="562" w:name="_Toc305158892"/>
      <w:r/>
      <w:bookmarkStart w:id="563" w:name="_Toc164229245"/>
      <w:r/>
      <w:bookmarkStart w:id="564" w:name="_Toc164229391"/>
      <w:r/>
      <w:bookmarkStart w:id="565" w:name="_Toc265228388"/>
      <w:r/>
      <w:bookmarkStart w:id="566" w:name="_Toc195842915"/>
      <w:r/>
      <w:bookmarkStart w:id="567" w:name="_Toc305158818"/>
      <w:r/>
      <w:bookmarkStart w:id="568" w:name="_Ref467306377"/>
      <w:r/>
      <w:bookmarkStart w:id="569" w:name="_Toc226965823"/>
      <w:r/>
      <w:bookmarkStart w:id="570" w:name="_Toc151193648"/>
      <w:r/>
      <w:bookmarkStart w:id="571" w:name="_Toc127151550"/>
      <w:r/>
      <w:bookmarkStart w:id="572" w:name="_Toc264969240"/>
      <w:r/>
      <w:bookmarkStart w:id="573" w:name="_Toc142311052"/>
      <w:r/>
      <w:bookmarkStart w:id="574" w:name="_Toc226309794"/>
      <w:r/>
      <w:bookmarkStart w:id="575" w:name="_Toc149720843"/>
      <w:r/>
      <w:bookmarkStart w:id="576" w:name="_Toc164608819"/>
      <w:r/>
      <w:bookmarkStart w:id="577" w:name="_Ref467307204"/>
      <w:r>
        <w:rPr>
          <w:rFonts w:hint="eastAsia" w:ascii="宋体" w:hAnsi="宋体" w:cs="宋体"/>
          <w:b/>
          <w:bCs/>
          <w:color w:val="auto"/>
          <w:sz w:val="24"/>
          <w:highlight w:val="none"/>
        </w:rPr>
        <w:t xml:space="preserve">23签订合同</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23.3联合体获得成交资格的，联合体各方应当共同与采购人签订合同，就成交项目向采购人承担连带责任。</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23.4政府采购合同不能转包。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541"/>
      <w:bookmarkEnd w:id="542"/>
      <w:bookmarkEnd w:id="543"/>
      <w:r/>
    </w:p>
    <w:p>
      <w:pPr>
        <w:ind w:firstLine="482"/>
        <w:spacing w:line="360" w:lineRule="auto"/>
        <w:tabs>
          <w:tab w:val="left" w:pos="360" w:leader="none"/>
        </w:tabs>
        <w:rPr>
          <w:rFonts w:ascii="宋体" w:hAnsi="宋体" w:cs="宋体"/>
          <w:color w:val="auto"/>
          <w:sz w:val="24"/>
          <w:highlight w:val="none"/>
        </w:rPr>
        <w:outlineLvl w:val="1"/>
      </w:pPr>
      <w:r>
        <w:rPr>
          <w:rFonts w:hint="eastAsia" w:ascii="宋体" w:hAnsi="宋体" w:cs="宋体"/>
          <w:b/>
          <w:bCs/>
          <w:color w:val="auto"/>
          <w:sz w:val="24"/>
          <w:highlight w:val="none"/>
        </w:rPr>
        <w:t xml:space="preserve">24询问与质疑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24.1询问</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24.1.1供应商对政府采购活动事项有疑问的，可依法提出询问，并按《供应商须知资料表》载明的形式送达采购人或采购代理机构。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24.2质疑</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24.2.2</w:t>
      </w: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24.2.3质疑函须使用财政部制定的范本文件。（下载网址：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229"/>
          <w:rFonts w:hint="eastAsia" w:ascii="宋体" w:hAnsi="宋体" w:cs="宋体"/>
          <w:color w:val="auto"/>
          <w:sz w:val="24"/>
          <w:highlight w:val="none"/>
        </w:rPr>
        <w:t xml:space="preserve">http://gk</w:t>
      </w:r>
      <w:bookmarkStart w:id="578" w:name="_Hlt100654014"/>
      <w:r>
        <w:rPr>
          <w:rStyle w:val="1229"/>
          <w:rFonts w:hint="eastAsia" w:ascii="宋体" w:hAnsi="宋体" w:cs="宋体"/>
          <w:color w:val="auto"/>
          <w:sz w:val="24"/>
          <w:highlight w:val="none"/>
        </w:rPr>
        <w:t xml:space="preserve">s</w:t>
      </w:r>
      <w:bookmarkEnd w:id="578"/>
      <w:r>
        <w:rPr>
          <w:rStyle w:val="1229"/>
          <w:rFonts w:hint="eastAsia" w:ascii="宋体" w:hAnsi="宋体" w:cs="宋体"/>
          <w:color w:val="auto"/>
          <w:sz w:val="24"/>
          <w:highlight w:val="none"/>
        </w:rPr>
        <w:t xml:space="preserve">.m</w:t>
      </w:r>
      <w:bookmarkStart w:id="579" w:name="_Hlt100653993"/>
      <w:r/>
      <w:bookmarkStart w:id="580" w:name="_Hlt100653994"/>
      <w:r>
        <w:rPr>
          <w:rStyle w:val="1229"/>
          <w:rFonts w:hint="eastAsia" w:ascii="宋体" w:hAnsi="宋体" w:cs="宋体"/>
          <w:color w:val="auto"/>
          <w:sz w:val="24"/>
          <w:highlight w:val="none"/>
        </w:rPr>
        <w:t xml:space="preserve">o</w:t>
      </w:r>
      <w:bookmarkEnd w:id="579"/>
      <w:r/>
      <w:bookmarkEnd w:id="580"/>
      <w:r/>
      <w:bookmarkStart w:id="581" w:name="_Hlt101169156"/>
      <w:r>
        <w:rPr>
          <w:rStyle w:val="1229"/>
          <w:rFonts w:hint="eastAsia" w:ascii="宋体" w:hAnsi="宋体" w:cs="宋体"/>
          <w:color w:val="auto"/>
          <w:sz w:val="24"/>
          <w:highlight w:val="none"/>
        </w:rPr>
        <w:t xml:space="preserve">f</w:t>
      </w:r>
      <w:bookmarkEnd w:id="581"/>
      <w:r>
        <w:rPr>
          <w:rStyle w:val="1229"/>
          <w:rFonts w:hint="eastAsia" w:ascii="宋体" w:hAnsi="宋体" w:cs="宋体"/>
          <w:color w:val="auto"/>
          <w:sz w:val="24"/>
          <w:highlight w:val="none"/>
        </w:rPr>
        <w:t xml:space="preserve">.gov.cn/ztztz/zhengfucaigouguanli/201802/t20180201_2804589.htm</w:t>
      </w:r>
      <w:r>
        <w:rPr>
          <w:rStyle w:val="1229"/>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24.2.4供应商为自然人的，应当由本人签字；供应商为法人或者其他组织的，应当由法定代表人、主要负责人，或者其授权代表签字或者盖章，并加盖公章。</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24.2.5供应商应在法定质疑期内一次性提出针对同一采购程序环节的质疑，法定质疑期内针对同一采购程序环节再次提出的质疑，采购人、采购代理机构有权不予答复。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24.3接收询问和质疑的联系部门、联系电话和通讯地址见《供应商须知资料表》。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25代理费</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25.1收费对象、收费标准及缴纳时间见《供应商须知资料表》。由成交供应商支付的，成交供应商须一次性向采购代理机构缴纳代理费，报价应包含代理费用。</w:t>
      </w:r>
      <w:r/>
    </w:p>
    <w:p>
      <w:pPr>
        <w:numPr>
          <w:ilvl w:val="1"/>
          <w:numId w:val="9"/>
        </w:numPr>
        <w:ind w:left="0" w:firstLine="480"/>
        <w:spacing w:line="360" w:lineRule="auto"/>
        <w:tabs>
          <w:tab w:val="left" w:pos="1080" w:leader="none"/>
          <w:tab w:val="left" w:pos="2014" w:leader="none"/>
        </w:tabs>
        <w:rPr>
          <w:rFonts w:ascii="宋体" w:hAnsi="宋体" w:cs="宋体"/>
          <w:color w:val="auto"/>
          <w:sz w:val="24"/>
          <w:highlight w:val="none"/>
        </w:rPr>
        <w:sectPr>
          <w:footerReference w:type="even" r:id="rId22"/>
          <w:footnotePr/>
          <w:endnotePr/>
          <w:type w:val="nextPage"/>
          <w:pgSz w:w="11907" w:h="16838" w:orient="portrait"/>
          <w:pgMar w:top="1417" w:right="1134" w:bottom="1417" w:left="1361" w:header="850" w:footer="850" w:gutter="0"/>
          <w:cols w:num="1" w:sep="0" w:space="0" w:equalWidth="1"/>
          <w:docGrid w:linePitch="360"/>
          <w:titlePg/>
        </w:sectPr>
      </w:pPr>
      <w:r/>
      <w:bookmarkStart w:id="582" w:name="_Toc226337250"/>
      <w:r/>
      <w:bookmarkStart w:id="583" w:name="_Toc265228392"/>
      <w:r/>
      <w:bookmarkStart w:id="584" w:name="_Toc353873934"/>
      <w:r/>
      <w:bookmarkStart w:id="585" w:name="_Toc353825544"/>
      <w:r/>
      <w:bookmarkStart w:id="586" w:name="_Toc353873664"/>
      <w:r/>
      <w:bookmarkStart w:id="587" w:name="_Toc305158822"/>
      <w:r/>
      <w:bookmarkStart w:id="588" w:name="_Toc305158896"/>
      <w:r/>
      <w:bookmarkStart w:id="589" w:name="_Toc150480792"/>
      <w:r/>
      <w:bookmarkStart w:id="590" w:name="_Toc150774759"/>
      <w:r/>
      <w:bookmarkStart w:id="591" w:name="_Toc226965827"/>
      <w:r/>
      <w:bookmarkStart w:id="592" w:name="_Toc127151554"/>
      <w:r/>
      <w:bookmarkStart w:id="593" w:name="_Toc142311056"/>
      <w:r/>
      <w:bookmarkStart w:id="594" w:name="_Toc264969244"/>
      <w:r/>
      <w:bookmarkEnd w:id="582"/>
      <w:bookmarkEnd w:id="583"/>
      <w:bookmarkEnd w:id="584"/>
      <w:bookmarkEnd w:id="585"/>
      <w:bookmarkEnd w:id="586"/>
      <w:bookmarkEnd w:id="587"/>
      <w:bookmarkEnd w:id="588"/>
      <w:bookmarkEnd w:id="589"/>
      <w:bookmarkEnd w:id="590"/>
      <w:bookmarkEnd w:id="591"/>
      <w:bookmarkEnd w:id="592"/>
      <w:bookmarkEnd w:id="593"/>
      <w:bookmarkEnd w:id="594"/>
      <w:r/>
    </w:p>
    <w:p>
      <w:pPr>
        <w:numPr>
          <w:ilvl w:val="0"/>
          <w:numId w:val="10"/>
        </w:numPr>
        <w:jc w:val="center"/>
        <w:spacing w:line="360" w:lineRule="auto"/>
        <w:rPr>
          <w:b/>
          <w:color w:val="auto"/>
          <w:sz w:val="36"/>
          <w:szCs w:val="36"/>
          <w:highlight w:val="none"/>
        </w:rPr>
        <w:outlineLvl w:val="0"/>
      </w:pPr>
      <w:r/>
      <w:bookmarkStart w:id="595" w:name="_Toc11129"/>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95"/>
      <w:r/>
      <w:bookmarkStart w:id="596" w:name="_Toc487900382"/>
      <w:r/>
      <w:r/>
    </w:p>
    <w:p>
      <w:pPr>
        <w:pStyle w:val="1164"/>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596"/>
      <w:r/>
    </w:p>
    <w:p>
      <w:pPr>
        <w:ind w:firstLine="482"/>
        <w:spacing w:line="360" w:lineRule="auto"/>
        <w:tabs>
          <w:tab w:val="left" w:pos="360" w:leader="none"/>
        </w:tabs>
        <w:rPr>
          <w:rFonts w:ascii="宋体" w:hAnsi="宋体" w:cs="宋体"/>
          <w:b/>
          <w:bCs/>
          <w:color w:val="auto"/>
          <w:sz w:val="24"/>
          <w:highlight w:val="none"/>
        </w:rPr>
        <w:outlineLvl w:val="1"/>
      </w:pPr>
      <w:r/>
      <w:bookmarkStart w:id="597" w:name="_Toc127161455"/>
      <w:r/>
      <w:bookmarkStart w:id="598" w:name="_Toc164229382"/>
      <w:r/>
      <w:bookmarkStart w:id="599" w:name="_Toc305158883"/>
      <w:r/>
      <w:bookmarkStart w:id="600" w:name="_Toc226965731"/>
      <w:r/>
      <w:bookmarkStart w:id="601" w:name="_Toc195842906"/>
      <w:r/>
      <w:bookmarkStart w:id="602" w:name="_Toc150509292"/>
      <w:r/>
      <w:bookmarkStart w:id="603" w:name="_Toc226309785"/>
      <w:r/>
      <w:bookmarkStart w:id="604" w:name="_Toc264969231"/>
      <w:r/>
      <w:bookmarkStart w:id="605" w:name="_Toc265228379"/>
      <w:r/>
      <w:bookmarkStart w:id="606" w:name="_Toc150774641"/>
      <w:r/>
      <w:bookmarkStart w:id="607" w:name="_Toc151193711"/>
      <w:r/>
      <w:bookmarkStart w:id="608" w:name="_Toc150774746"/>
      <w:r/>
      <w:bookmarkStart w:id="609" w:name="_Toc127151742"/>
      <w:r/>
      <w:bookmarkStart w:id="610" w:name="_Toc164351635"/>
      <w:r/>
      <w:bookmarkStart w:id="611" w:name="_Toc151190168"/>
      <w:r/>
      <w:bookmarkStart w:id="612" w:name="_Toc151193639"/>
      <w:r/>
      <w:bookmarkStart w:id="613" w:name="_Toc164229236"/>
      <w:r/>
      <w:bookmarkStart w:id="614" w:name="_Toc150480779"/>
      <w:r/>
      <w:bookmarkStart w:id="615" w:name="_Toc142311043"/>
      <w:r/>
      <w:bookmarkStart w:id="616" w:name="_Toc305158809"/>
      <w:r/>
      <w:bookmarkStart w:id="617" w:name="_Toc149720834"/>
      <w:r/>
      <w:bookmarkStart w:id="618" w:name="_Toc164608655"/>
      <w:r/>
      <w:bookmarkStart w:id="619" w:name="_Toc226337237"/>
      <w:r/>
      <w:bookmarkStart w:id="620" w:name="_Toc151193929"/>
      <w:r/>
      <w:bookmarkStart w:id="621" w:name="_Toc151193783"/>
      <w:r/>
      <w:bookmarkStart w:id="622" w:name="_Toc151193855"/>
      <w:r/>
      <w:bookmarkStart w:id="623" w:name="_Toc164608810"/>
      <w:r/>
      <w:bookmarkStart w:id="624" w:name="_Toc127151541"/>
      <w:r/>
      <w:bookmarkStart w:id="625" w:name="_Toc226965814"/>
      <w:r/>
      <w:bookmarkStart w:id="626" w:name="_Toc353825551"/>
      <w:r/>
      <w:bookmarkStart w:id="627" w:name="_Toc353873941"/>
      <w:r/>
      <w:bookmarkStart w:id="628" w:name="_Toc353825545"/>
      <w:r/>
      <w:bookmarkStart w:id="629" w:name="_Toc353873665"/>
      <w:r/>
      <w:bookmarkStart w:id="630" w:name="_Toc226337251"/>
      <w:r/>
      <w:bookmarkStart w:id="631" w:name="_Toc150480793"/>
      <w:r/>
      <w:bookmarkStart w:id="632" w:name="_Toc142311057"/>
      <w:r/>
      <w:bookmarkStart w:id="633" w:name="_Toc195842920"/>
      <w:r/>
      <w:bookmarkStart w:id="634" w:name="_Toc353873935"/>
      <w:r/>
      <w:bookmarkStart w:id="635" w:name="_Toc127151555"/>
      <w:r/>
      <w:bookmarkStart w:id="636" w:name="_Toc305158897"/>
      <w:r/>
      <w:bookmarkStart w:id="637" w:name="_Toc305158823"/>
      <w:r/>
      <w:bookmarkStart w:id="638" w:name="_Toc226965828"/>
      <w:r/>
      <w:bookmarkStart w:id="639" w:name="_Toc265228393"/>
      <w:r/>
      <w:bookmarkStart w:id="640" w:name="_Toc264969245"/>
      <w:r/>
      <w:bookmarkStart w:id="641" w:name="_Toc150774760"/>
      <w:r>
        <w:rPr>
          <w:rFonts w:hint="eastAsia" w:ascii="宋体" w:hAnsi="宋体" w:cs="宋体"/>
          <w:b/>
          <w:bCs/>
          <w:color w:val="auto"/>
          <w:sz w:val="24"/>
          <w:highlight w:val="none"/>
        </w:rPr>
        <w:t xml:space="preserve">1响应文件的</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rFonts w:hint="eastAsia" w:ascii="宋体" w:hAnsi="宋体" w:cs="宋体"/>
          <w:b/>
          <w:bCs/>
          <w:color w:val="auto"/>
          <w:sz w:val="24"/>
          <w:highlight w:val="none"/>
        </w:rPr>
        <w:t xml:space="preserve">资格性检查和符合性审查</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1.2《资格性检查要求》中对格式有要求的，除竞争性磋商文件另有规定外，均为“实质性格式”文件。</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1.3《资格性检查要求》见下表：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983"/>
        <w:tblW w:w="94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08"/>
        <w:gridCol w:w="5287"/>
        <w:gridCol w:w="1503"/>
      </w:tblGrid>
      <w:tr>
        <w:trPr>
          <w:cantSplit/>
          <w:trHeight w:val="20"/>
          <w:tblHeader/>
        </w:trPr>
        <w:tc>
          <w:tcPr>
            <w:tcW w:w="704" w:type="dxa"/>
            <w:vAlign w:val="center"/>
            <w:textDirection w:val="lrTb"/>
            <w:noWrap w:val="false"/>
          </w:tcPr>
          <w:p>
            <w:pPr>
              <w:jc w:val="center"/>
              <w:tabs>
                <w:tab w:val="left" w:pos="1080" w:leader="none"/>
              </w:tabs>
              <w:rPr>
                <w:rFonts w:ascii="宋体" w:hAnsi="宋体" w:cs="宋体"/>
                <w:b/>
                <w:color w:val="auto"/>
                <w:sz w:val="24"/>
                <w:highlight w:val="none"/>
              </w:rPr>
            </w:pPr>
            <w:r/>
            <w:bookmarkStart w:id="642" w:name="_Hlt487972895"/>
            <w:r/>
            <w:bookmarkEnd w:id="642"/>
            <w:r>
              <w:rPr>
                <w:rFonts w:hint="eastAsia" w:ascii="宋体" w:hAnsi="宋体" w:cs="宋体"/>
                <w:b/>
                <w:color w:val="auto"/>
                <w:sz w:val="24"/>
                <w:highlight w:val="none"/>
              </w:rPr>
              <w:t xml:space="preserve">序号</w:t>
            </w:r>
            <w:r/>
          </w:p>
        </w:tc>
        <w:tc>
          <w:tcPr>
            <w:tcW w:w="1908"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5287"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503"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5287" w:type="dxa"/>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。联合体形式响应的，联合体成员存在不良信用记录，视同联合体存在不良信用记录。</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无须供应商提供，由采购人查询。</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具体要求见第一章《采购邀请》</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2-3</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是否接受联合体响应</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本项目不接受联合体响应，供应商不得为联合体。</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3-2</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供应商须具有有效的甲级城市规划编制资质证书</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bl>
    <w:p>
      <w:pPr>
        <w:jc w:val="left"/>
        <w:widowControl/>
        <w:rPr>
          <w:color w:val="auto"/>
          <w:sz w:val="24"/>
          <w:highlight w:val="none"/>
        </w:rPr>
      </w:pPr>
      <w:r>
        <w:rPr>
          <w:color w:val="auto"/>
          <w:sz w:val="24"/>
          <w:highlight w:val="none"/>
        </w:rPr>
        <w:br w:type="page" w:clear="all"/>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1.4《符合性审查要求》见下表：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983"/>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33"/>
        <w:gridCol w:w="6709"/>
      </w:tblGrid>
      <w:tr>
        <w:trPr>
          <w:jc w:val="center"/>
          <w:trHeight w:val="372"/>
        </w:trPr>
        <w:tc>
          <w:tcPr>
            <w:tcW w:w="760"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933"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6709"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300"/>
        </w:trPr>
        <w:tc>
          <w:tcPr>
            <w:tcW w:w="760"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color w:val="auto"/>
                <w:sz w:val="24"/>
                <w:highlight w:val="none"/>
              </w:rPr>
              <w:t xml:space="preserve">1</w:t>
            </w:r>
            <w:r/>
          </w:p>
        </w:tc>
        <w:tc>
          <w:tcPr>
            <w:tcW w:w="1933" w:type="dxa"/>
            <w:vAlign w:val="center"/>
            <w:textDirection w:val="lrTb"/>
            <w:noWrap w:val="false"/>
          </w:tcPr>
          <w:p>
            <w:pPr>
              <w:jc w:val="center"/>
              <w:widowControl/>
              <w:rPr>
                <w:rFonts w:ascii="宋体" w:hAnsi="宋体" w:cs="宋体"/>
                <w:b/>
                <w:color w:val="auto"/>
                <w:sz w:val="24"/>
                <w:highlight w:val="none"/>
              </w:rPr>
            </w:pPr>
            <w:r>
              <w:rPr>
                <w:rFonts w:hint="eastAsia"/>
                <w:color w:val="auto"/>
                <w:sz w:val="24"/>
                <w:highlight w:val="none"/>
              </w:rPr>
              <w:t xml:space="preserve">响应函、</w:t>
            </w:r>
            <w:r>
              <w:rPr>
                <w:rFonts w:hint="eastAsia"/>
                <w:color w:val="auto"/>
                <w:sz w:val="24"/>
                <w:highlight w:val="none"/>
              </w:rPr>
              <w:t xml:space="preserve">法定代表人资格证明书</w:t>
            </w:r>
            <w:r>
              <w:rPr>
                <w:rFonts w:hint="eastAsia"/>
                <w:color w:val="auto"/>
                <w:sz w:val="24"/>
                <w:highlight w:val="none"/>
                <w:lang w:eastAsia="zh-CN"/>
              </w:rPr>
              <w:t xml:space="preserve">、</w:t>
            </w:r>
            <w:r>
              <w:rPr>
                <w:rFonts w:hint="eastAsia"/>
                <w:color w:val="auto"/>
                <w:sz w:val="24"/>
                <w:highlight w:val="none"/>
              </w:rPr>
              <w:t xml:space="preserve">政府采购供应商信用承诺书</w:t>
            </w:r>
            <w:r>
              <w:rPr>
                <w:rFonts w:hint="eastAsia"/>
                <w:color w:val="auto"/>
                <w:sz w:val="24"/>
                <w:highlight w:val="none"/>
                <w:lang w:eastAsia="zh-CN"/>
              </w:rPr>
              <w:t xml:space="preserve">和</w:t>
            </w:r>
            <w:r>
              <w:rPr>
                <w:rFonts w:hint="eastAsia" w:ascii="宋体" w:hAnsi="宋体"/>
                <w:color w:val="auto"/>
                <w:sz w:val="24"/>
                <w:highlight w:val="none"/>
                <w:lang w:eastAsia="zh-CN"/>
              </w:rPr>
              <w:t xml:space="preserve">供应商管理关系或控股关系信息情况表</w:t>
            </w:r>
            <w:r/>
          </w:p>
        </w:tc>
        <w:tc>
          <w:tcPr>
            <w:tcW w:w="6709" w:type="dxa"/>
            <w:vAlign w:val="center"/>
            <w:textDirection w:val="lrTb"/>
            <w:noWrap w:val="false"/>
          </w:tcPr>
          <w:p>
            <w:pPr>
              <w:jc w:val="center"/>
              <w:widowControl/>
              <w:rPr>
                <w:rFonts w:ascii="宋体" w:hAnsi="宋体" w:cs="宋体"/>
                <w:b/>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法定代表人资格证明书</w:t>
            </w:r>
            <w:r>
              <w:rPr>
                <w:rFonts w:hint="eastAsia"/>
                <w:color w:val="auto"/>
                <w:sz w:val="24"/>
                <w:highlight w:val="none"/>
                <w:lang w:eastAsia="zh-CN"/>
              </w:rPr>
              <w:t xml:space="preserve">、</w:t>
            </w:r>
            <w:r>
              <w:rPr>
                <w:rFonts w:hint="eastAsia"/>
                <w:color w:val="auto"/>
                <w:sz w:val="24"/>
                <w:highlight w:val="none"/>
              </w:rPr>
              <w:t xml:space="preserve">政府采购供应商信用承诺书</w:t>
            </w:r>
            <w:r>
              <w:rPr>
                <w:rFonts w:hint="eastAsia"/>
                <w:color w:val="auto"/>
                <w:sz w:val="24"/>
                <w:highlight w:val="none"/>
                <w:lang w:eastAsia="zh-CN"/>
              </w:rPr>
              <w:t xml:space="preserve">和</w:t>
            </w:r>
            <w:r>
              <w:rPr>
                <w:rFonts w:hint="eastAsia" w:ascii="宋体" w:hAnsi="宋体"/>
                <w:color w:val="auto"/>
                <w:sz w:val="24"/>
                <w:highlight w:val="none"/>
                <w:lang w:eastAsia="zh-CN"/>
              </w:rPr>
              <w:t xml:space="preserve">供应商管理关系或控股关系信息情况表</w:t>
            </w:r>
            <w:r>
              <w:rPr>
                <w:color w:val="auto"/>
                <w:sz w:val="24"/>
                <w:highlight w:val="none"/>
              </w:rPr>
              <w:t xml:space="preserve">；</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未将一个采购包中的内容拆开响应；</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响应报价未超过磋商文件中规定的项目/采购包预算金额或者项目/采购包最高限价；</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★号条款响应</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响应文件满足磋商文件第五章《采购需求》中★号条款要求的；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不涉及报价修正，或响应文件报价出现前后不一致时，供应商对修正后的报价予以确认；（如有）</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2）响应产品如涉及计算机信息系统安全专用产品的，须提供公安部颁发的计算机信息系统安全专用产品销售许可证；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2磋商、响应文件有关事项的澄清、说明或者更正和最终报价</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2.3对磋商文件作出的实质性变动是磋商文件的有效组成部分，磋商小组应当及时通过“苏采云”政府采购一体化平台系统以书面形式同时通知所有参加磋商的供应商。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2.5响应文件的澄清、说明或者更正：</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2.6</w:t>
      </w:r>
      <w:r>
        <w:rPr>
          <w:rFonts w:hint="eastAsia" w:ascii="宋体" w:hAnsi="宋体" w:cs="宋体"/>
          <w:b/>
          <w:color w:val="auto"/>
          <w:sz w:val="24"/>
          <w:highlight w:val="none"/>
        </w:rPr>
        <w:t xml:space="preserve">磋商结束后，磋商小组将要求所有实质性响应的供应商在规定时间内通过“苏采云”政府采购一体化平台系统提交最终报价</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2.7磋商文件能够详细列明采购标的的技术、服务要求的，磋商结束后，磋商小组应当要求所有实质</w:t>
      </w:r>
      <w:r>
        <w:rPr>
          <w:rFonts w:hint="eastAsia" w:ascii="宋体" w:hAnsi="宋体" w:cs="宋体"/>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2.9已提交响应文件的供应商，在提交最终报价之前，可以根据磋商情况退出磋商。</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3最终报价的算术修正及政策调整</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3.2.1竞争性磋商文件对于报价修正是否另有规定：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3.2.2大写金额和小写金额不一致的，以大写金额为准；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3.2.3单价金额小数点或者百分比有明显错位的，以最终报价一览表的总价为准，并修改单价；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3.2.4总价金额与按单价汇总金额不一致的，以单价金额计算结果为准。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3.3落实政府采购政策的价格调整：只有符合第二章《供应商须知》4.2条规定情形的，可以享受中小企业扶持政策，用扣除后的价格参加评审；否则，评审时价格不予扣除。</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0%的扣除，用扣除后的价格参加评审。</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30%以上的联合体或者大中型企业的报价给予3%的扣除，用扣除后的价格参加评审。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3.3.4价格扣除比例对小型企业和微型企业同等对待，不作区分。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3.3.5中小企业参加政府采购活动，应当按照竞争性磋商文件给定的格式出具《中小企业声明函》，否则不得享受相关中小企业扶持政策。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3.3.7残疾人福利性单位按竞争性磋商文件要求提供了《残疾人福利性单位声明函》（见附件）的，视同小微企业。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3.3.8若供应商同时属于小型或微型企业、监狱企业、残疾人福利性单位中的两种及以上，将不重复享受小微企业价格扣减的优惠政策。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3.3.9其他为落实政府采购政策实施的优先采购：______。</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4磋商环节及提交最终报价后如出现以下情况的，供应商的响应文件无效：</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4.1供应商对实质性变动不予确认的；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4.2不满足磋商文件★号条款或磋商文件技术指标超出磋商文件《采购需求》中主要技术参数允许偏差的最大范围的（如有）；</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4.3未按照磋商小组规定的时间、逾期提交最终报价的；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4.6最终报价出现前后不一致，供应商对修正后的报价不予确认的；</w:t>
      </w:r>
      <w:r/>
    </w:p>
    <w:p>
      <w:pPr>
        <w:numPr>
          <w:ilvl w:val="1"/>
          <w:numId w:val="0"/>
        </w:numPr>
        <w:ind w:firstLine="480"/>
        <w:spacing w:line="360" w:lineRule="auto"/>
        <w:tabs>
          <w:tab w:val="left" w:pos="1080" w:leader="none"/>
        </w:tabs>
        <w:rPr>
          <w:rFonts w:ascii="宋体" w:hAnsi="宋体" w:cs="宋体"/>
          <w:b w:val="0"/>
          <w:bCs w:val="0"/>
          <w:color w:val="auto"/>
          <w:sz w:val="24"/>
          <w:highlight w:val="none"/>
        </w:rPr>
      </w:pPr>
      <w:r>
        <w:rPr>
          <w:rFonts w:hint="eastAsia" w:ascii="宋体" w:hAnsi="宋体" w:cs="宋体"/>
          <w:color w:val="auto"/>
          <w:sz w:val="24"/>
          <w:highlight w:val="none"/>
        </w:rPr>
        <w:t xml:space="preserve">4.7其他：</w:t>
      </w:r>
      <w:r>
        <w:rPr>
          <w:rFonts w:hint="eastAsia" w:ascii="宋体" w:hAnsi="宋体" w:cs="宋体"/>
          <w:b w:val="0"/>
          <w:bCs w:val="0"/>
          <w:color w:val="auto"/>
          <w:sz w:val="24"/>
          <w:highlight w:val="none"/>
        </w:rPr>
        <w:t xml:space="preserve">评审过程中出现下列情形之一的，评审委员会应当启动异常低价投标（ 响应）审查程序：</w:t>
      </w:r>
      <w:r/>
    </w:p>
    <w:p>
      <w:pPr>
        <w:numPr>
          <w:ilvl w:val="1"/>
          <w:numId w:val="0"/>
        </w:numPr>
        <w:ind w:firstLine="480"/>
        <w:spacing w:line="360" w:lineRule="auto"/>
        <w:tabs>
          <w:tab w:val="left" w:pos="108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① 投标（响应）报价低于采购项目预算50%的，即投标（响应）报价&lt;采购项目预算×50%；</w:t>
      </w:r>
      <w:r/>
    </w:p>
    <w:p>
      <w:pPr>
        <w:numPr>
          <w:ilvl w:val="1"/>
          <w:numId w:val="0"/>
        </w:numPr>
        <w:ind w:firstLine="480"/>
        <w:spacing w:line="360" w:lineRule="auto"/>
        <w:tabs>
          <w:tab w:val="left" w:pos="108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② 投标（响应）报价低于采购项目最高限价45% 的，即投标（响应）报价&lt;采购项目最高限价×45%；</w:t>
      </w:r>
      <w:r/>
    </w:p>
    <w:p>
      <w:pPr>
        <w:numPr>
          <w:ilvl w:val="1"/>
          <w:numId w:val="0"/>
        </w:numPr>
        <w:ind w:firstLine="480"/>
        <w:spacing w:line="360" w:lineRule="auto"/>
        <w:tabs>
          <w:tab w:val="left" w:pos="108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③ 评审委员会认定的供应商报价过低、有可能影响产品质量或者不能诚信履约的其他情形。</w:t>
      </w:r>
      <w:r/>
    </w:p>
    <w:p>
      <w:pPr>
        <w:numPr>
          <w:ilvl w:val="1"/>
          <w:numId w:val="0"/>
        </w:numPr>
        <w:ind w:firstLine="480"/>
        <w:spacing w:line="360" w:lineRule="auto"/>
        <w:tabs>
          <w:tab w:val="left" w:pos="108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626"/>
      <w:bookmarkEnd w:id="627"/>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5评审方法和评审标准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5.4关于无线局域网认证产品政府采购清单中的产品，优先采购的具体规定（如涉及）</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6确定</w:t>
      </w:r>
      <w:bookmarkStart w:id="643" w:name="_Toc520356170"/>
      <w:r/>
      <w:bookmarkStart w:id="644" w:name="_Toc151193934"/>
      <w:r/>
      <w:bookmarkStart w:id="645" w:name="_Toc265228384"/>
      <w:r/>
      <w:bookmarkStart w:id="646" w:name="_Toc149720839"/>
      <w:r/>
      <w:bookmarkStart w:id="647" w:name="_Toc226965736"/>
      <w:r/>
      <w:bookmarkStart w:id="648" w:name="_Toc127151546"/>
      <w:r/>
      <w:bookmarkStart w:id="649" w:name="_Toc151193716"/>
      <w:r/>
      <w:bookmarkStart w:id="650" w:name="_Toc151190173"/>
      <w:r/>
      <w:bookmarkStart w:id="651" w:name="_Toc164608660"/>
      <w:r/>
      <w:bookmarkStart w:id="652" w:name="_Toc226309790"/>
      <w:r/>
      <w:bookmarkStart w:id="653" w:name="_Toc305158888"/>
      <w:r/>
      <w:bookmarkStart w:id="654" w:name="_Toc127151747"/>
      <w:r/>
      <w:bookmarkStart w:id="655" w:name="_Toc195842911"/>
      <w:r/>
      <w:bookmarkStart w:id="656" w:name="_Toc164351640"/>
      <w:r/>
      <w:bookmarkStart w:id="657" w:name="_Toc264969236"/>
      <w:r/>
      <w:bookmarkStart w:id="658" w:name="_Ref467307010"/>
      <w:r/>
      <w:bookmarkStart w:id="659" w:name="_Toc150509297"/>
      <w:r/>
      <w:bookmarkStart w:id="660" w:name="_Toc164229387"/>
      <w:r/>
      <w:bookmarkStart w:id="661" w:name="_Toc164608815"/>
      <w:r/>
      <w:bookmarkStart w:id="662" w:name="_Toc151193860"/>
      <w:r/>
      <w:bookmarkStart w:id="663" w:name="_Toc151193644"/>
      <w:r/>
      <w:bookmarkStart w:id="664" w:name="_Toc226965819"/>
      <w:r/>
      <w:bookmarkStart w:id="665" w:name="_Toc164229241"/>
      <w:r/>
      <w:bookmarkStart w:id="666" w:name="_Toc151193788"/>
      <w:r/>
      <w:bookmarkStart w:id="667" w:name="_Toc150774646"/>
      <w:r/>
      <w:bookmarkStart w:id="668" w:name="_Toc150480784"/>
      <w:r/>
      <w:bookmarkStart w:id="669" w:name="_Toc226337242"/>
      <w:r/>
      <w:bookmarkStart w:id="670" w:name="_Toc305158814"/>
      <w:r/>
      <w:bookmarkStart w:id="671" w:name="_Toc142311048"/>
      <w:r/>
      <w:bookmarkStart w:id="672" w:name="_Toc150774751"/>
      <w:r/>
      <w:bookmarkStart w:id="673" w:name="_Toc127161460"/>
      <w:r>
        <w:rPr>
          <w:rFonts w:hint="eastAsia" w:ascii="宋体" w:hAnsi="宋体" w:cs="宋体"/>
          <w:b/>
          <w:bCs/>
          <w:color w:val="auto"/>
          <w:sz w:val="24"/>
          <w:highlight w:val="none"/>
        </w:rPr>
        <w:t xml:space="preserve">成交候选人名单</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6.2磋商小组根据上述供应商排序，依次推荐排序前3名的供应商为成交候选供应商（若在磋商文件允许的情形下提交最终报价的供应商为二家，则依次推荐二名供应商为成交候选供应商），并编写评审报告。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6.3磋商小组要对评分汇总情况进行复核，特别是对排名第一的、报价最低的、响应文件被认定为无效的情形进行重点复核。</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7报告违法行为</w:t>
      </w:r>
      <w:r/>
    </w:p>
    <w:p>
      <w:pPr>
        <w:numPr>
          <w:ilvl w:val="1"/>
          <w:numId w:val="0"/>
        </w:numPr>
        <w:ind w:firstLine="480"/>
        <w:spacing w:line="360" w:lineRule="auto"/>
        <w:widowControl/>
        <w:tabs>
          <w:tab w:val="left" w:pos="1080" w:leader="none"/>
          <w:tab w:val="left" w:pos="1872" w:leader="none"/>
        </w:tabs>
        <w:rPr>
          <w:rFonts w:ascii="宋体" w:hAnsi="宋体" w:cs="宋体"/>
          <w:b/>
          <w:color w:val="auto"/>
          <w:sz w:val="24"/>
          <w:highlight w:val="none"/>
        </w:rPr>
      </w:pPr>
      <w:r>
        <w:rPr>
          <w:rFonts w:hint="eastAsia" w:ascii="宋体" w:hAnsi="宋体" w:cs="宋体"/>
          <w:color w:val="auto"/>
          <w:sz w:val="24"/>
          <w:highlight w:val="none"/>
        </w:rPr>
        <w:t xml:space="preserve">7.1磋商小组在评审过程中发现供应商有行贿、提供虚假材料或者串通等违法行为时，有向采购人、采购代理机构或者有关部门报告的职责。</w:t>
      </w:r>
      <w:r/>
    </w:p>
    <w:p>
      <w:pPr>
        <w:pStyle w:val="1164"/>
        <w:jc w:val="both"/>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br w:type="page" w:clear="all"/>
      </w:r>
      <w:r>
        <w:rPr>
          <w:rFonts w:ascii="Times New Roman" w:hAnsi="Times New Roman" w:eastAsia="宋体"/>
          <w:color w:val="auto"/>
          <w:sz w:val="24"/>
          <w:szCs w:val="24"/>
          <w:highlight w:val="none"/>
        </w:rPr>
        <w:t xml:space="preserve">二、评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983"/>
        <w:tblW w:w="9840" w:type="dxa"/>
        <w:jc w:val="center"/>
        <w:tblLayout w:type="autofit"/>
        <w:tblCellMar>
          <w:left w:w="0" w:type="dxa"/>
          <w:top w:w="0" w:type="dxa"/>
          <w:right w:w="0" w:type="dxa"/>
          <w:bottom w:w="0" w:type="dxa"/>
        </w:tblCellMar>
        <w:tblLook w:val="04A0" w:firstRow="1" w:lastRow="0" w:firstColumn="1" w:lastColumn="0" w:noHBand="0" w:noVBand="1"/>
      </w:tblPr>
      <w:tblGrid>
        <w:gridCol w:w="773"/>
        <w:gridCol w:w="1330"/>
        <w:gridCol w:w="6775"/>
        <w:gridCol w:w="962"/>
      </w:tblGrid>
      <w:tr>
        <w:trPr>
          <w:jc w:val="center"/>
          <w:trHeight w:val="652"/>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评分标准和评审材料</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jc w:val="center"/>
          <w:trHeight w:val="882"/>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ascii="宋体" w:hAnsi="宋体" w:cs="宋体"/>
                <w:b/>
                <w:bCs/>
                <w:color w:val="auto"/>
                <w:sz w:val="24"/>
                <w:highlight w:val="none"/>
              </w:rPr>
            </w:pPr>
            <w:r>
              <w:rPr>
                <w:rFonts w:hint="eastAsia" w:ascii="宋体" w:hAnsi="宋体" w:cs="宋体"/>
                <w:color w:val="auto"/>
                <w:sz w:val="24"/>
                <w:highlight w:val="none"/>
              </w:rPr>
              <w:t xml:space="preserve">采用低价优先法计算，即满足磋商文件要求且磋商最终报价最低的价格为磋商基准价，其价格分为满分</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分。其他供应商的价格分统一按照下列公式计算：价格得分=(磋商基准价／最终报价)×</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%×100。（计算结果四舍五入保留两位小数）</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20</w:t>
            </w:r>
            <w:r/>
          </w:p>
        </w:tc>
      </w:tr>
      <w:tr>
        <w:trPr>
          <w:jc w:val="center"/>
          <w:trHeight w:val="493"/>
        </w:trPr>
        <w:tc>
          <w:tcPr>
            <w:gridSpan w:val="3"/>
            <w:tcBorders>
              <w:top w:val="single" w:color="auto" w:sz="8" w:space="0"/>
              <w:left w:val="single" w:color="auto" w:sz="8" w:space="0"/>
              <w:bottom w:val="single" w:color="auto" w:sz="8" w:space="0"/>
              <w:right w:val="single" w:color="auto" w:sz="8" w:space="0"/>
            </w:tcBorders>
            <w:tcW w:w="8878"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技术分（主观分）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40</w:t>
            </w:r>
            <w:r/>
          </w:p>
        </w:tc>
      </w:tr>
      <w:tr>
        <w:trPr>
          <w:jc w:val="center"/>
          <w:trHeight w:val="2652"/>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前期分析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评委根据供应商对前期分析进行比较评分，包括但不限于项目背景、相关规划、控规实施评估、现状分析、可用地块梳理、指导思想、愿景定位等方面。</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分析内容非常完善、认知全面准确的得10分；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分析内容较完善、认知较准确的得7分；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分析内容有偏差，认知把握不准确的得5分；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分析内容模糊不清，认知把握较差的得2分；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没有内容或其情况不满足磋商文件需求的不得分。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10</w:t>
            </w:r>
            <w:r/>
          </w:p>
        </w:tc>
      </w:tr>
      <w:tr>
        <w:trPr>
          <w:jc w:val="center"/>
          <w:trHeight w:val="907"/>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规划方案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评委根据供应商针对规划方案（不限于规划理念、设计愿景、规划结构、用地规划、总平面、整体效果、节点效果、建筑功能及高度、工改宅改分析、分片解析、业态策划等方面）提供的分析进行比较评分：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方案思路清晰，描述详细，满足项目需求的得15分；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方案思路较清晰，描述较详细，基本满足项目需求的得11分；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方案思路一般，描述基本详细，可以满足项目需求的得7分；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方案思路不清晰，对重大项目实施情况不熟悉，但经过后期优化能满足采购需求的得3分；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没有内容或其情况不满足磋商文件需求的不得分。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5</w:t>
            </w:r>
            <w:r/>
          </w:p>
        </w:tc>
      </w:tr>
      <w:tr>
        <w:trPr>
          <w:jc w:val="center"/>
          <w:trHeight w:val="530"/>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专项分析</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评委根据供应商针对本项目提供的专项分析（不限于就业人口测算、居住用地规划、住宅策划、公服设施规划、道路交通规划、绿地水系规划、近期建设）进行比较评分：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分析全面、核心内容分析准确得10分；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分析较全面、核心内容分析比较准确，得7分；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分析基本全面，得5分；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分析不太全面、准确</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2分</w:t>
            </w:r>
            <w:r>
              <w:rPr>
                <w:rFonts w:hint="eastAsia" w:ascii="宋体" w:hAnsi="宋体" w:cs="宋体"/>
                <w:color w:val="auto"/>
                <w:sz w:val="24"/>
                <w:highlight w:val="none"/>
              </w:rPr>
              <w:t xml:space="preserve">；</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没有内容或其情况不满足磋商文件需求的不得分。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10</w:t>
            </w:r>
            <w:r/>
          </w:p>
        </w:tc>
      </w:tr>
      <w:tr>
        <w:trPr>
          <w:jc w:val="center"/>
          <w:trHeight w:val="587"/>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质量及进度保证措施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评委根据供应商针对本项目提供的的质量管理体系、质量及进度保证措施等进行评分：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管控体系健全、组织合理、对可能产生的质量及进度问题分析归纳条理清楚，采取的质量及进度保障措施具体、有效，优于采购需求的，得5分；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管控体系较健全、组织较合理、对可能产生的质量及进度问题分析归纳较清楚，采取的质量及进度保障措施较具体、较有效，满足项目采购需求的，得3分；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管控体系基本健全、组织基本合理、分析归纳详细、质量及进度保证措施完整的，基本满足采购需求的，得2分；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管控体系不健全、组织不合理、措施有欠缺，承诺经过优化后可实现采购需求的，得1分；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没有内容不得分。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5</w:t>
            </w:r>
            <w:r/>
          </w:p>
        </w:tc>
      </w:tr>
      <w:tr>
        <w:trPr>
          <w:jc w:val="center"/>
          <w:trHeight w:val="685"/>
        </w:trPr>
        <w:tc>
          <w:tcPr>
            <w:gridSpan w:val="3"/>
            <w:tcBorders>
              <w:top w:val="single" w:color="auto" w:sz="8" w:space="0"/>
              <w:left w:val="single" w:color="auto" w:sz="8" w:space="0"/>
              <w:bottom w:val="single" w:color="auto" w:sz="8" w:space="0"/>
              <w:right w:val="single" w:color="auto" w:sz="8" w:space="0"/>
            </w:tcBorders>
            <w:tcW w:w="8878"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商务分（客观分）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40</w:t>
            </w:r>
            <w:r/>
          </w:p>
        </w:tc>
      </w:tr>
      <w:tr>
        <w:trPr>
          <w:jc w:val="center"/>
          <w:trHeight w:val="2212"/>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供应商自2022年1月1日至本项目磋商公告发布之日止</w:t>
            </w:r>
            <w:r>
              <w:rPr>
                <w:rFonts w:hint="eastAsia" w:ascii="宋体" w:hAnsi="宋体" w:cs="宋体"/>
                <w:b/>
                <w:bCs/>
                <w:color w:val="auto"/>
                <w:sz w:val="24"/>
                <w:highlight w:val="none"/>
              </w:rPr>
              <w:t xml:space="preserve">（以合同签订时间为准）</w:t>
            </w:r>
            <w:r>
              <w:rPr>
                <w:rFonts w:hint="eastAsia" w:ascii="宋体" w:hAnsi="宋体" w:cs="宋体"/>
                <w:color w:val="auto"/>
                <w:sz w:val="24"/>
                <w:highlight w:val="none"/>
              </w:rPr>
              <w:t xml:space="preserve">承担过与本项目类似单元层次详细规划业绩的，每提供一份有效业绩合同得5分，本项最高得10分。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注：1.电子响应文件中提供完整有效合同原件扫描件并加盖供应商电子公章，未提供或提供不齐全不得分；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2.业绩证明材料应能够清晰、明确反映供应商名称、合同签订时间、项目内容等主要信息，否则业绩不得分。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r>
      <w:tr>
        <w:trPr>
          <w:jc w:val="center"/>
          <w:trHeight w:val="1923"/>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管理体系认证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供应商具有有效期内的质量管理体系认证证书、环境管理体系认证证书、职业健康安全管理体系认证证书，每有1个得1分，本项最高得3分。</w:t>
            </w:r>
            <w:r/>
          </w:p>
          <w:p>
            <w:pPr>
              <w:widowControl/>
              <w:rPr>
                <w:rFonts w:ascii="宋体" w:hAnsi="宋体" w:cs="宋体"/>
                <w:b/>
                <w:bCs/>
                <w:color w:val="auto"/>
                <w:sz w:val="24"/>
                <w:highlight w:val="none"/>
              </w:rPr>
            </w:pPr>
            <w:r>
              <w:rPr>
                <w:rFonts w:hint="eastAsia" w:ascii="宋体" w:hAnsi="宋体" w:cs="宋体"/>
                <w:b/>
                <w:color w:val="auto"/>
                <w:sz w:val="24"/>
                <w:highlight w:val="none"/>
              </w:rPr>
              <w:t xml:space="preserve">注：电子响应文件中提供有效认证证书扫描件和国家认监委www.cnca.gov.cn网页在有效期内的截图并加盖供应商公章，否则不得分。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w:t>
            </w:r>
            <w:r/>
          </w:p>
        </w:tc>
      </w:tr>
      <w:tr>
        <w:trPr>
          <w:jc w:val="center"/>
          <w:trHeight w:val="2254"/>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企业荣誉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供应商近三年</w:t>
            </w:r>
            <w:r>
              <w:rPr>
                <w:rFonts w:hint="eastAsia" w:ascii="宋体" w:hAnsi="宋体" w:cs="宋体"/>
                <w:b/>
                <w:bCs/>
                <w:color w:val="auto"/>
                <w:sz w:val="24"/>
                <w:highlight w:val="none"/>
              </w:rPr>
              <w:t xml:space="preserve">（自磋商公告截止日往前推算，时间以获奖证书落款时间为准）</w:t>
            </w:r>
            <w:r>
              <w:rPr>
                <w:rFonts w:hint="eastAsia" w:ascii="宋体" w:hAnsi="宋体" w:cs="宋体"/>
                <w:color w:val="auto"/>
                <w:sz w:val="24"/>
                <w:highlight w:val="none"/>
              </w:rPr>
              <w:t xml:space="preserve">承担的规划类项目取得过省级及以上自然资源主管部门荣誉的，每有一项得3分；取得市级自然资源主管部门荣誉的，每有一项得2分；取得区县级自然资源主管部门荣誉的，每有一项得1分；</w:t>
            </w:r>
            <w:r>
              <w:rPr>
                <w:rFonts w:hint="eastAsia" w:ascii="宋体" w:hAnsi="宋体" w:cs="宋体"/>
                <w:b/>
                <w:bCs/>
                <w:color w:val="auto"/>
                <w:sz w:val="24"/>
                <w:highlight w:val="none"/>
              </w:rPr>
              <w:t xml:space="preserve">本项限评2个奖项，最高得6分。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注：电子响应文件中提供上述相关奖项证明材料复印件并加盖供应商公章，不提供不得分。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6</w:t>
            </w:r>
            <w:r/>
          </w:p>
        </w:tc>
      </w:tr>
      <w:tr>
        <w:trPr>
          <w:jc w:val="center"/>
          <w:trHeight w:val="633"/>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负责人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1.拟派本项目负责人具有土地或规划类</w:t>
            </w:r>
            <w:r>
              <w:rPr>
                <w:rFonts w:hint="eastAsia" w:ascii="宋体" w:hAnsi="宋体" w:cs="宋体"/>
                <w:color w:val="auto"/>
                <w:sz w:val="24"/>
                <w:highlight w:val="none"/>
                <w:lang w:eastAsia="zh-CN"/>
              </w:rPr>
              <w:t xml:space="preserve">正高级</w:t>
            </w:r>
            <w:r>
              <w:rPr>
                <w:rFonts w:hint="eastAsia" w:ascii="宋体" w:hAnsi="宋体" w:cs="宋体"/>
                <w:color w:val="auto"/>
                <w:sz w:val="24"/>
                <w:highlight w:val="none"/>
              </w:rPr>
              <w:t xml:space="preserve">职称的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得3分；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2.拟派本项目负责人具有注册城乡规划师资格证的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得3分；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3.拟派本项目负责人近三年</w:t>
            </w:r>
            <w:r>
              <w:rPr>
                <w:rFonts w:hint="eastAsia" w:ascii="宋体" w:hAnsi="宋体" w:cs="宋体"/>
                <w:b/>
                <w:bCs/>
                <w:color w:val="auto"/>
                <w:sz w:val="24"/>
                <w:highlight w:val="none"/>
              </w:rPr>
              <w:t xml:space="preserve">（自磋商公告截止日往前推算，时间以获奖证书落款时间为准）</w:t>
            </w:r>
            <w:r>
              <w:rPr>
                <w:rFonts w:hint="eastAsia" w:ascii="宋体" w:hAnsi="宋体" w:cs="宋体"/>
                <w:color w:val="auto"/>
                <w:sz w:val="24"/>
                <w:highlight w:val="none"/>
              </w:rPr>
              <w:t xml:space="preserve">承担的与</w:t>
            </w:r>
            <w:r>
              <w:rPr>
                <w:rFonts w:hint="eastAsia" w:ascii="宋体" w:hAnsi="宋体" w:cs="宋体"/>
                <w:b/>
                <w:bCs/>
                <w:color w:val="auto"/>
                <w:sz w:val="24"/>
                <w:highlight w:val="none"/>
              </w:rPr>
              <w:t xml:space="preserve">本项目类似的详细规划项目</w:t>
            </w:r>
            <w:r>
              <w:rPr>
                <w:rFonts w:hint="eastAsia" w:ascii="宋体" w:hAnsi="宋体" w:cs="宋体"/>
                <w:color w:val="auto"/>
                <w:sz w:val="24"/>
                <w:highlight w:val="none"/>
              </w:rPr>
              <w:t xml:space="preserve">取得过省级及以上自然资源主管部门荣誉的，每有一项得3分；取得市级自然资源主管部门荣誉的，每有一项得2分；取得区县级自然资源主管部门荣誉的，每有一项得1分</w:t>
            </w:r>
            <w:r>
              <w:rPr>
                <w:rFonts w:hint="eastAsia" w:ascii="宋体" w:hAnsi="宋体" w:cs="宋体"/>
                <w:b/>
                <w:bCs/>
                <w:color w:val="auto"/>
                <w:sz w:val="24"/>
                <w:highlight w:val="none"/>
              </w:rPr>
              <w:t xml:space="preserve">；本项限评1个奖项，最高得3分。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本项最高得9分。项目负责人荣誉不与上述3.3项企业荣誉重复得分。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注：电子响应文件中提供上述相关证书、奖项、文件证明材料复印件及供应商近三个月（2025年</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月至</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月）中任意一个月社保缴费证明并加盖供应商公章，否则不得分。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9</w:t>
            </w:r>
            <w:r/>
          </w:p>
        </w:tc>
      </w:tr>
      <w:tr>
        <w:trPr>
          <w:jc w:val="center"/>
          <w:trHeight w:val="631"/>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项目组</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人员配备（不含项目负责人）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拟派项目组成员中（不含项目负责人）具有注册城乡规划师资格证的，每有一个得2分，最高得6分；具有土地或规划类副高级及以上职称的，每有一个得2分，最高得6分。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本项最高得12分。以上人员不可重复得分。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注：电子响应文件中提供以上人员相关证书复印件及供应商近三个月（2025年</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月至</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月）中任意一个月社保缴费证明并加盖供应商公章，否则不得分。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12</w:t>
            </w:r>
            <w:r/>
          </w:p>
        </w:tc>
      </w:tr>
    </w:tbl>
    <w:p>
      <w:pPr>
        <w:jc w:val="left"/>
        <w:spacing w:line="440" w:lineRule="exact"/>
        <w:rPr>
          <w:rFonts w:ascii="宋体" w:hAnsi="宋体"/>
          <w:color w:val="auto"/>
          <w:sz w:val="24"/>
          <w:highlight w:val="none"/>
        </w:rPr>
      </w:pPr>
      <w:r>
        <w:rPr>
          <w:rFonts w:ascii="宋体" w:hAnsi="宋体"/>
          <w:color w:val="auto"/>
          <w:sz w:val="24"/>
          <w:highlight w:val="none"/>
        </w:rPr>
      </w:r>
      <w:r/>
    </w:p>
    <w:p>
      <w:pPr>
        <w:ind w:firstLine="482"/>
        <w:jc w:val="left"/>
        <w:spacing w:line="440" w:lineRule="exact"/>
        <w:rPr>
          <w:rFonts w:ascii="宋体" w:hAnsi="宋体"/>
          <w:color w:val="auto"/>
          <w:sz w:val="24"/>
          <w:highlight w:val="none"/>
        </w:rPr>
      </w:pPr>
      <w:r>
        <w:rPr>
          <w:rFonts w:hint="eastAsia" w:ascii="宋体" w:hAnsi="宋体"/>
          <w:b/>
          <w:bCs/>
          <w:color w:val="auto"/>
          <w:sz w:val="24"/>
          <w:highlight w:val="none"/>
        </w:rPr>
        <w:t xml:space="preserve">注：</w:t>
      </w:r>
      <w:r>
        <w:rPr>
          <w:rFonts w:hint="eastAsia" w:ascii="宋体" w:hAnsi="宋体"/>
          <w:color w:val="auto"/>
          <w:sz w:val="24"/>
          <w:highlight w:val="none"/>
        </w:rPr>
        <w:t xml:space="preserve">1.评分细则中要求提供的证明文件及资料等在响应文件中提供原件扫描件，并加盖供应商公章。</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2．评审时，未能按以上要求提供相应证明（原件扫描件）的，不作为评审依据，不得分。</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3.便于评分，请供应商在偏离表中逐条列出技术参数证明材料所在页码。</w:t>
      </w:r>
      <w:r/>
    </w:p>
    <w:p>
      <w:pPr>
        <w:rPr>
          <w:b/>
          <w:color w:val="auto"/>
          <w:sz w:val="36"/>
          <w:szCs w:val="36"/>
          <w:highlight w:val="none"/>
        </w:rPr>
      </w:pPr>
      <w:r>
        <w:rPr>
          <w:b/>
          <w:color w:val="auto"/>
          <w:sz w:val="36"/>
          <w:szCs w:val="36"/>
          <w:highlight w:val="none"/>
        </w:rPr>
        <w:br w:type="page" w:clear="all"/>
      </w:r>
      <w:r/>
    </w:p>
    <w:p>
      <w:pPr>
        <w:numPr>
          <w:ilvl w:val="0"/>
          <w:numId w:val="10"/>
        </w:numPr>
        <w:jc w:val="center"/>
        <w:spacing w:line="360" w:lineRule="auto"/>
        <w:rPr>
          <w:b/>
          <w:color w:val="auto"/>
          <w:sz w:val="36"/>
          <w:szCs w:val="36"/>
          <w:highlight w:val="none"/>
        </w:rPr>
        <w:outlineLvl w:val="0"/>
      </w:pPr>
      <w:r/>
      <w:bookmarkStart w:id="674" w:name="_Toc28501"/>
      <w:r>
        <w:rPr>
          <w:b/>
          <w:color w:val="auto"/>
          <w:sz w:val="36"/>
          <w:szCs w:val="36"/>
          <w:highlight w:val="none"/>
        </w:rPr>
        <w:t xml:space="preserve">采购需求</w:t>
      </w:r>
      <w:bookmarkEnd w:id="674"/>
      <w:r/>
      <w:r/>
    </w:p>
    <w:p>
      <w:pPr>
        <w:pStyle w:val="973"/>
        <w:ind w:firstLine="482"/>
        <w:spacing w:before="0" w:after="0" w:line="360" w:lineRule="auto"/>
        <w:rPr>
          <w:rFonts w:ascii="宋体" w:hAnsi="宋体" w:eastAsia="宋体" w:cs="宋体"/>
          <w:b/>
          <w:color w:val="auto"/>
          <w:sz w:val="24"/>
          <w:szCs w:val="24"/>
          <w:highlight w:val="none"/>
        </w:rPr>
      </w:pPr>
      <w:r/>
      <w:bookmarkStart w:id="675" w:name="_Toc28236"/>
      <w:r>
        <w:rPr>
          <w:rFonts w:hint="eastAsia" w:ascii="宋体" w:hAnsi="宋体" w:eastAsia="宋体" w:cs="宋体"/>
          <w:b/>
          <w:color w:val="auto"/>
          <w:sz w:val="24"/>
          <w:szCs w:val="24"/>
          <w:highlight w:val="none"/>
        </w:rPr>
        <w:t xml:space="preserve">一、项目概况</w:t>
      </w:r>
      <w:r/>
    </w:p>
    <w:p>
      <w:pPr>
        <w:pStyle w:val="974"/>
        <w:ind w:firstLine="482"/>
        <w:spacing w:before="0" w:after="0"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1.1</w:t>
      </w:r>
      <w:r>
        <w:rPr>
          <w:rFonts w:hint="eastAsia" w:ascii="宋体" w:hAnsi="宋体" w:eastAsia="宋体" w:cs="宋体"/>
          <w:b/>
          <w:color w:val="auto"/>
          <w:sz w:val="24"/>
          <w:highlight w:val="none"/>
        </w:rPr>
        <w:t xml:space="preserve">项目背景</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现今常州城市发展已然进入新阶段。常州市已迈入城镇化发展中后期。改变发展思路，推动城市由外延扩张向内涵发展转变实施城市更新行动，是推动高质量发展的综合性、系统性战略行动。并且，当前社会已从关注物质需求转向注重生活质量，实施城市更新行动也是转变城市开发建设方式、推动城市结构调整优化的重要抓手，是推动解决城市发展中的突出问题和短板、提升人民群众获得感幸福感安全感的重大举措。</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相关政策对规划编制引导提出新要求。为贯彻落实《自然资源部关于加强国土空间详细规划工作的通知》（自然资发〔2023〕43号），结合《支持城市更新的规划与土地政策指引（2023版）》（自然资办发〔2023〕47号）、《江苏省城镇开发边界内详细规划编制指南（试行）》中相关要求，保障国土空间规划有效实施，需编制单元层次的详细规划。</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区级发展提出新的建设方向。钟楼区委第十一届十次全会吹响了“做精老城区、做强经开区、做大高新区”的号角。其中“做强经开区”就提出，深入推进“经开区一体化规划”等新的建设发展方向。</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新闸片区位于高架路、古运河、城际铁路三条重要城市廊道交汇片，是产城融合、多元交织的复合功能片区。十四五期间，针对片区内各功能分区分别编制了多项规划成果，</w:t>
      </w:r>
      <w:r>
        <w:rPr>
          <w:rFonts w:hint="eastAsia" w:ascii="宋体" w:hAnsi="宋体" w:eastAsia="宋体" w:cs="宋体"/>
          <w:color w:val="auto"/>
          <w:sz w:val="24"/>
          <w:szCs w:val="24"/>
          <w:highlight w:val="none"/>
          <w:lang w:eastAsia="zh-CN"/>
        </w:rPr>
        <w:t xml:space="preserve">包括《常州市钟楼区新闸片区城市设计暨城西分区CX0201-CX0206、高新分区GX1201、GX1206基本控制单元部分地块控制性详细规划(修改)》、《钟楼区涉铁通道及德胜河六改三相关规划用地研究》等。在常州发展新阶段、政策提出新要求、区域建设新方向的背景下，应重新审视新闸片区功能定位及布局，植入内涵式发展思维，落实上位规划引导要求，从区域角度对新闸片区进行整体统筹、多元协同，从发展战略、功能定位、业态策划、用地布局及空间形态等方面提出科学合理的方案，并编制单元层次的详细规划以全面适应国土空间规划新体系，</w:t>
      </w:r>
      <w:r>
        <w:rPr>
          <w:rFonts w:hint="eastAsia"/>
          <w:color w:val="auto"/>
          <w:sz w:val="24"/>
          <w:highlight w:val="none"/>
          <w:lang w:eastAsia="zh-CN"/>
        </w:rPr>
        <w:t xml:space="preserve">分类完成街区层次详细规划编制，</w:t>
      </w:r>
      <w:r>
        <w:rPr>
          <w:rFonts w:hint="eastAsia" w:ascii="宋体" w:hAnsi="宋体" w:eastAsia="宋体" w:cs="宋体"/>
          <w:color w:val="auto"/>
          <w:sz w:val="24"/>
          <w:szCs w:val="24"/>
          <w:highlight w:val="none"/>
          <w:lang w:eastAsia="zh-CN"/>
        </w:rPr>
        <w:t xml:space="preserve">推进精细化治理管控。</w:t>
      </w:r>
      <w:r/>
    </w:p>
    <w:p>
      <w:pPr>
        <w:pStyle w:val="974"/>
        <w:ind w:firstLine="482"/>
        <w:spacing w:before="0" w:after="0"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1.2</w:t>
      </w:r>
      <w:r>
        <w:rPr>
          <w:rFonts w:hint="eastAsia" w:ascii="宋体" w:hAnsi="宋体" w:eastAsia="宋体" w:cs="宋体"/>
          <w:b/>
          <w:color w:val="auto"/>
          <w:sz w:val="24"/>
          <w:highlight w:val="none"/>
        </w:rPr>
        <w:t xml:space="preserve">规划范围</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本规划范围为新闸街道ZLWX01、ZLWX02单元（东至区界及龙江路高架，南至京杭大运河老线段，西至德胜河，北至区界），范围面积14.61平方公里。其中ZLWX01单元面积7.09平方公里，ZLWX02单元面积7.52平方公里。</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3718560" cy="3422650"/>
                <wp:effectExtent l="0" t="0" r="0" b="635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7"/>
                        <a:stretch/>
                      </pic:blipFill>
                      <pic:spPr bwMode="auto">
                        <a:xfrm>
                          <a:off x="0" y="0"/>
                          <a:ext cx="3752978" cy="34547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92.8pt;height:269.5pt;mso-wrap-distance-left:0.0pt;mso-wrap-distance-top:0.0pt;mso-wrap-distance-right:0.0pt;mso-wrap-distance-bottom:0.0pt;" stroked="false">
                <v:path textboxrect="0,0,0,0"/>
                <v:imagedata r:id="rId27" o:title=""/>
              </v:shape>
            </w:pict>
          </mc:Fallback>
        </mc:AlternateContent>
      </w:r>
      <w:r/>
    </w:p>
    <w:p>
      <w:pPr>
        <w:pStyle w:val="974"/>
        <w:ind w:firstLine="482"/>
        <w:keepLines w:val="0"/>
        <w:spacing w:before="0" w:after="0"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1.3</w:t>
      </w:r>
      <w:r>
        <w:rPr>
          <w:rFonts w:hint="eastAsia" w:ascii="宋体" w:hAnsi="宋体" w:eastAsia="宋体" w:cs="宋体"/>
          <w:b/>
          <w:color w:val="auto"/>
          <w:sz w:val="24"/>
          <w:highlight w:val="none"/>
        </w:rPr>
        <w:t xml:space="preserve">规划目的</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作为钟楼新城北部重要区域，结合城市更新、城中村自主更新、低效用地再开发等项目，从区域角度统筹片区发展，整合优势资源，优化空间布局，植入发展动能，释放新活力，对片区进行提升规划研究，并以此为研究基础与规划依据编制新闸街道单元层次详细规划，同时将单元层次相关管控要求分解传导至各街区，</w:t>
      </w:r>
      <w:r>
        <w:rPr>
          <w:rFonts w:hint="eastAsia"/>
          <w:color w:val="auto"/>
          <w:sz w:val="24"/>
          <w:highlight w:val="none"/>
          <w:lang w:eastAsia="zh-CN"/>
        </w:rPr>
        <w:t xml:space="preserve">分类完成街区层次详细规划</w:t>
      </w:r>
      <w:r>
        <w:rPr>
          <w:rFonts w:hint="eastAsia" w:ascii="宋体" w:hAnsi="宋体" w:eastAsia="宋体" w:cs="宋体"/>
          <w:color w:val="auto"/>
          <w:sz w:val="24"/>
          <w:szCs w:val="24"/>
          <w:highlight w:val="none"/>
          <w:lang w:eastAsia="zh-CN"/>
        </w:rPr>
        <w:t xml:space="preserve">的编制。</w:t>
      </w:r>
      <w:r/>
    </w:p>
    <w:p>
      <w:pPr>
        <w:pStyle w:val="973"/>
        <w:ind w:firstLine="482"/>
        <w:keepLines w:val="0"/>
        <w:spacing w:before="0" w:after="0"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二、任务要求</w:t>
      </w:r>
      <w:r/>
    </w:p>
    <w:p>
      <w:pPr>
        <w:pStyle w:val="974"/>
        <w:ind w:firstLine="482"/>
        <w:keepLines w:val="0"/>
        <w:spacing w:before="0" w:after="0"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2.1</w:t>
      </w:r>
      <w:r>
        <w:rPr>
          <w:rFonts w:hint="eastAsia" w:ascii="宋体" w:hAnsi="宋体" w:eastAsia="宋体" w:cs="宋体"/>
          <w:b/>
          <w:color w:val="auto"/>
          <w:sz w:val="24"/>
          <w:highlight w:val="none"/>
        </w:rPr>
        <w:t xml:space="preserve">规划任务</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规划任务分为两个部分：</w:t>
      </w:r>
      <w:r/>
    </w:p>
    <w:p>
      <w:pPr>
        <w:pStyle w:val="988"/>
        <w:ind w:firstLine="482"/>
        <w:spacing w:line="360" w:lineRule="auto"/>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（1）片区提升规划研究：</w:t>
      </w:r>
      <w:r>
        <w:rPr>
          <w:rFonts w:hint="eastAsia" w:ascii="宋体" w:hAnsi="宋体" w:eastAsia="宋体" w:cs="宋体"/>
          <w:color w:val="auto"/>
          <w:sz w:val="24"/>
          <w:szCs w:val="24"/>
          <w:highlight w:val="none"/>
          <w:lang w:eastAsia="zh-CN"/>
        </w:rPr>
        <w:t xml:space="preserve">统筹落实《常州市国土空间总体规划（2021-2035年）》《常州市钟楼区国土空间总体规划（2021-2035年）》和各类专项规划的相关内容和要求，在内涵式发展、以更新为主要建设方式的背景下，统筹城中村改造、低效用地再更新等项目，盘活现有土地资源、挖掘空间潜力，优化区域空间结构、细化功能布局，以指导下一步单元层次详细规划编制。</w:t>
      </w:r>
      <w:r/>
    </w:p>
    <w:p>
      <w:pPr>
        <w:pStyle w:val="988"/>
        <w:ind w:firstLine="482"/>
        <w:spacing w:line="360" w:lineRule="auto"/>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（2）单元层次详细规划编制：</w:t>
      </w:r>
      <w:r>
        <w:rPr>
          <w:rFonts w:hint="eastAsia" w:ascii="宋体" w:hAnsi="宋体" w:eastAsia="宋体" w:cs="宋体"/>
          <w:color w:val="auto"/>
          <w:sz w:val="24"/>
          <w:szCs w:val="24"/>
          <w:highlight w:val="none"/>
          <w:lang w:eastAsia="zh-CN"/>
        </w:rPr>
        <w:t xml:space="preserve">传导各类规划相关内容和要求，加强城市设计引导内容，明确单元层次主导功能、规模控制、六线控制以及设施配套等内容。同时将单元层次相关管控要求分解传导至各街区，分类完成街区层次详细规划的编制。</w:t>
      </w:r>
      <w:r/>
    </w:p>
    <w:p>
      <w:pPr>
        <w:pStyle w:val="974"/>
        <w:ind w:firstLine="482"/>
        <w:keepLines w:val="0"/>
        <w:spacing w:before="0" w:after="0"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2.2</w:t>
      </w:r>
      <w:r>
        <w:rPr>
          <w:rFonts w:hint="eastAsia" w:ascii="宋体" w:hAnsi="宋体" w:eastAsia="宋体" w:cs="宋体"/>
          <w:b/>
          <w:color w:val="auto"/>
          <w:sz w:val="24"/>
          <w:highlight w:val="none"/>
        </w:rPr>
        <w:t xml:space="preserve">规划重点</w:t>
      </w:r>
      <w:r/>
    </w:p>
    <w:p>
      <w:pPr>
        <w:pStyle w:val="975"/>
        <w:ind w:firstLine="482"/>
        <w:keepLines w:val="0"/>
        <w:spacing w:before="0" w:after="0"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rPr>
        <w:t xml:space="preserve">现状调研及规划实施评估</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规划范围内及周边的自然条件、历史文化资源、人口、土地利用、土地权属、地下空间利用、建筑、公共管理与公共服务设施、综合交通、公用设施、综合防灾等现状进行详细调查，总结现状特征，分析存在问题，挖掘发展条件。</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开展现行详细规划的实施评估。评估规划内容实施情况、影响规划实施的外部因素变化情况以及规划内容自身合理性情况，梳理规划实施问题，剖析问题原因，提出现行详细规划延续内容与优化建议。</w:t>
      </w:r>
      <w:r/>
    </w:p>
    <w:p>
      <w:pPr>
        <w:pStyle w:val="975"/>
        <w:ind w:firstLine="482"/>
        <w:keepLines w:val="0"/>
        <w:spacing w:before="0" w:after="0"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rPr>
        <w:t xml:space="preserve">梳理上位及相关规划管控要求</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严格落实国土空间总体规划确定的“三条控制线”、历史文化保护线、结构性绿地和水体、重要公共管理与公共服务设施、重大交通设施、重大安全设施、重大公用设施等强制性内容，遵循总体规划对详细规划单元的主导功能定位和开发强度分区等规定，具体落实基础设施、公共管理与公共服务设施、绿地广场等配置要求。</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统筹落实相关专项规划（公共服务设施、基础设施、公共安全设施）的各项设施控制要求，细化城市控制线范围，加强空间管控。</w:t>
      </w:r>
      <w:r/>
    </w:p>
    <w:p>
      <w:pPr>
        <w:pStyle w:val="975"/>
        <w:ind w:firstLine="482"/>
        <w:keepLines w:val="0"/>
        <w:spacing w:before="0" w:after="0"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rPr>
        <w:t xml:space="preserve">片区提升规划研究</w:t>
      </w:r>
      <w:r/>
    </w:p>
    <w:p>
      <w:pPr>
        <w:pStyle w:val="988"/>
        <w:ind w:firstLine="480"/>
        <w:spacing w:line="360" w:lineRule="auto"/>
        <w:rPr>
          <w:rFonts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统筹各类城市设计、规划研究成果、城中村改造、低效用地再更新等项目，盘活现有土地资源、挖掘空间潜力，优化区域空间结构、细化功能布局，从产业创业、景观提升、居住营造、文化赋能、服务升级等角度深化研究片区方案，提出空间策略，并提炼引导内容，以指导下一步单元层次详细规划编制。</w:t>
      </w:r>
      <w:r/>
    </w:p>
    <w:p>
      <w:pPr>
        <w:pStyle w:val="975"/>
        <w:ind w:firstLine="482"/>
        <w:keepLines w:val="0"/>
        <w:spacing w:before="0" w:after="0"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rPr>
        <w:t xml:space="preserve">单元层次详细规划</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利用好自然资源基础数据优势，用好“三调”成果，结合地形图、地籍权属数据、不动产登记、土地利用、土地储备等各方面数据，精准制作详细规划现状底图。明确建设目标和发展定位、人口与建设用地规模，划定更新规划单元。加强城市设计引导，整合空间布局结构，落实蓝绿空间引导，明确开发强度要求，优化用地主导功能预留弹性空间。统筹交通组织，完善各类配套设施要求，细化地下空间开发利用、公共基础设施建设要求等。将单元层次各类管控要求分解传导至街区层次，</w:t>
      </w:r>
      <w:r>
        <w:rPr>
          <w:rFonts w:hint="eastAsia"/>
          <w:color w:val="auto"/>
          <w:sz w:val="24"/>
          <w:highlight w:val="none"/>
          <w:lang w:eastAsia="zh-CN"/>
        </w:rPr>
        <w:t xml:space="preserve">分类完成街区层次详细规划</w:t>
      </w:r>
      <w:r>
        <w:rPr>
          <w:rFonts w:hint="eastAsia" w:eastAsiaTheme="minorEastAsia"/>
          <w:color w:val="auto"/>
          <w:sz w:val="24"/>
          <w:highlight w:val="none"/>
          <w:lang w:eastAsia="zh-CN"/>
        </w:rPr>
        <w:t xml:space="preserve">的编制</w:t>
      </w:r>
      <w:r>
        <w:rPr>
          <w:rFonts w:hint="eastAsia" w:ascii="宋体" w:hAnsi="宋体" w:eastAsia="宋体" w:cs="宋体"/>
          <w:color w:val="auto"/>
          <w:sz w:val="24"/>
          <w:szCs w:val="24"/>
          <w:highlight w:val="none"/>
          <w:lang w:eastAsia="zh-CN"/>
        </w:rPr>
        <w:t xml:space="preserve">。</w:t>
      </w:r>
      <w:r/>
    </w:p>
    <w:p>
      <w:pPr>
        <w:pStyle w:val="974"/>
        <w:ind w:firstLine="482"/>
        <w:keepLines w:val="0"/>
        <w:spacing w:before="0" w:after="0"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2.3</w:t>
      </w:r>
      <w:r>
        <w:rPr>
          <w:rFonts w:hint="eastAsia" w:ascii="宋体" w:hAnsi="宋体" w:eastAsia="宋体" w:cs="宋体"/>
          <w:b/>
          <w:color w:val="auto"/>
          <w:sz w:val="24"/>
          <w:highlight w:val="none"/>
        </w:rPr>
        <w:t xml:space="preserve">片区提升规划研究</w:t>
      </w:r>
      <w:r/>
    </w:p>
    <w:p>
      <w:pPr>
        <w:pStyle w:val="974"/>
        <w:ind w:firstLine="482"/>
        <w:keepLines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(1)前期研究</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立足区域，从常州市、钟楼区及钟楼经开区等层面进行分析，全面剖析规划区发展条件，分析相关规划要求，研判新闸街道发展机遇与挑战。</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对既有控规的实施情况进行评估，梳理现状用地、产业发展、道路交通、配套设施等情况，整理出近中期可利用地块，提出存在的问题，挖掘新闸街道核心竞争力。</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结合最新宏观政策及发展趋势，呼应“做强经开区”、“经开区一体化规划”等要求，精准定位新闸街道的发展愿景及功能定位。</w:t>
      </w:r>
      <w:r/>
    </w:p>
    <w:p>
      <w:pPr>
        <w:pStyle w:val="974"/>
        <w:ind w:firstLine="482"/>
        <w:keepLines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(2)规划方案</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构建先进合理且富有前瞻性的总体空间结构，优化、细化土地利用规划方案，提出科学的用地构成比例。在总体空间结构引导下，详细分析各片区的规划理念、空间结构、功能业态等。</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研究三维空间形态方案，并与用地布局互相反馈。包括城市设计愿景、总平面布局、整体鸟瞰及重要节点效果示意等。分析建筑功能、建筑形态、天际线、开放空间等。</w:t>
      </w:r>
      <w:r/>
    </w:p>
    <w:p>
      <w:pPr>
        <w:pStyle w:val="974"/>
        <w:ind w:firstLine="482"/>
        <w:keepLines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)支撑体系规划</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支撑体系规划分为：公共服务设施规划，提出合理的中心体系，布局各级各类生活性服务设施，研究生产性服务设施的规模、业态及布局模式。研究道路体系规划，合理确定道路等级及断面形式。细分不同功能的街道，创造不同特色的街道景观。布局公共停车场及公交首末站等；绿地系统规划，明确公园绿地系统，对各级各类公园、广场、滨水绿化带、道旁绿化带等进行设计指引。</w:t>
      </w:r>
      <w:r/>
    </w:p>
    <w:p>
      <w:pPr>
        <w:pStyle w:val="974"/>
        <w:ind w:firstLine="482"/>
        <w:keepLines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)工改及宅改研究</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针对住宅与产业规划发展，作专题研究。重点研究工改宅改，对住宅方面，结合房地产市场发展趋势及国家省市住宅建设新要求，研究新型住宅产品，策划新闸片区内各住宅地块的产品定位；对产业建设，重点借鉴先进地区经验，构建符合新闸自身需求的产业载体体系，提出针对性的产业用地更新模式、更新路径。</w:t>
      </w:r>
      <w:r/>
    </w:p>
    <w:p>
      <w:pPr>
        <w:pStyle w:val="974"/>
        <w:ind w:firstLine="482"/>
        <w:keepLines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)开发时序与实施建议</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合理划分地块，明确地块容积率、建筑高度、建筑密度及绿地率等控制指标。合理确定片区整体开发时序，并对近期地块提出实施与处置方式建议。</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2.4单元层次详细规划</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(1)总则</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内容包括规划目的、规划范围和期限、规划依据、具体控制内容、规划效力等。</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(2)定位与规模</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基于片区提升规划确定单元发展目标与功能定位，依据发展条件与上位规划要求，结合现状人口变化，明确人口规模、用地规模和开发容量等发展规模，与后续与公共管理与公共服务设施配置相匹配。</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(3)空间管控</w:t>
      </w:r>
      <w:r/>
    </w:p>
    <w:p>
      <w:pPr>
        <w:pStyle w:val="974"/>
        <w:ind w:firstLine="480"/>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整合单元空间管控要素，包括三区三线情况，林地、水、湿地、矿产资源等自然资源保护与利用，生态绿地系统、生态建设、自然保护地、生态保护修复等生态空间保护要求，以及市级文物保护单位等历史文化保护要素。</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(4)建设空间布局</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统筹考虑已遍规划成果，统一底数图纸，依据片区提升规划，统筹生态保护、重大设施与廊道控制、特色景观系统、低效用地盘活与城市更新等要素，确定建设空间结构、功能策划，明确主导功能，提炼强度分区与高度分区引导。</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(5)专题研究</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城市更新。坚持底线管控、节约集约、绿色低碳、多方参与、因地制宜五条原则，划定更新规划单元，明确各单元名称、规模、现状主导功能、规划主导功能、主导更新方式即拆改留等，提出更新对象及更新方式指引，根据提升规划提出的开发时序与实施建议，确定更新时序引导内容。</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下空间开发。地下空间作为城市空间的重要组成部分，是促进城市土地集约利用、城市居民生活舒适便利、城市生态环境良好的重要措施。重点对地下空间进行分区，分为重点建设、一般建设、限制建设、禁止建设四类，对地下交通设施、公共服务设施、市政基础设施、防灾设施进行引导，对特殊地区的地下空间引导进行研究。</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公共管理与公共服务设施规划。明确范围内市级、区级、居住级三级公共管理与公共服务设施的规模与控制类型、建设方式，包括教育、医疗卫生、文化、体育、社会福利、社区公共管理服务及商业服务等。</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综合交通规划。包括交通基础设施建设，道路系统规划，公共交通，慢行交通，静态交通，其他交通设施等。</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公用设施规划。包括统筹重大市政廊道与管线，明确给水工程、污水工程、雨水工程、海绵城市建设、供电工程、燃气工程、供热工程、信息工程、环卫工程、管线综合规划。</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综合防灾和公共安全设施。包括统筹防灾安全体系，防洪除涝、消防工程、人防工程、抗震工程、应急疏散工程规划。</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竖向规划。包括交叉口控制点、重要交通节点控制点、竖向体系防灾相关控制。</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城市控制线。包括主要道路红线控制，公园、防护、广场用地绿线控制，蓝线控制，黄线控制，机场净空、微波通道、景观视廊橙线控制，紫线控制。</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分街区控制传导。单元内街区划分，明确街区主导功能、街区规模、常住人口规模、建设用地规模等管控要求传导。</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（6）街区层次详细规划</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根据片区提升规划研究和单元层次详细规划，对可以继续延用的详细规划，按照用地用海属性赋予要求，进行优化转码；对需要进行规划修编和新编的街区，形成街区层次详细规划方案。</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三、成果与进度要求</w:t>
      </w:r>
      <w:r/>
    </w:p>
    <w:p>
      <w:pPr>
        <w:pStyle w:val="974"/>
        <w:ind w:firstLine="482"/>
        <w:keepLines w:val="0"/>
        <w:spacing w:before="0"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3.1成果要求</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设计成果包括两部分：片区提升规划与单元层次详细规划。</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片区提升规划成果为图文混排的总报告形式。</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(1)总报告缩印精装本5套，电子备份文件1套。</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(2)提供各阶段ppt格式的演示汇报材料电子稿一份。</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单元层次详细规划成果包括规划文本、图件、附件及数据库。</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（1）文本：以条文格式准确规范、简明扼要表述规划结论，明确规划强制性内容。</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（2）图件：图件包括图纸和图则两部分。</w:t>
      </w:r>
      <w:r/>
    </w:p>
    <w:p>
      <w:pPr>
        <w:pStyle w:val="974"/>
        <w:ind w:firstLine="480"/>
        <w:keepLines w:val="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（3）附件：包含现状资料分析汇总、必要的研究报告、相关文件汇编等内容。</w:t>
      </w:r>
      <w:r/>
    </w:p>
    <w:p>
      <w:pPr>
        <w:pStyle w:val="988"/>
        <w:numPr>
          <w:ilvl w:val="0"/>
          <w:numId w:val="0"/>
        </w:numPr>
        <w:ind w:left="0"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rPr>
        <w:t xml:space="preserve">（4）数据库：满足数据入库要求，形成规划成果数据库。</w:t>
      </w:r>
      <w:r/>
    </w:p>
    <w:p>
      <w:pPr>
        <w:pStyle w:val="974"/>
        <w:ind w:firstLine="482"/>
        <w:keepLines w:val="0"/>
        <w:spacing w:before="0" w:after="0" w:line="360" w:lineRule="auto"/>
        <w:rPr>
          <w:rFonts w:ascii="宋体" w:hAnsi="宋体" w:eastAsia="宋体" w:cs="宋体"/>
          <w:b/>
          <w:color w:val="auto"/>
          <w:sz w:val="24"/>
          <w:highlight w:val="none"/>
        </w:rPr>
      </w:pPr>
      <w:r>
        <w:rPr>
          <w:rFonts w:ascii="宋体" w:hAnsi="宋体" w:eastAsia="宋体" w:cs="宋体"/>
          <w:b/>
          <w:color w:val="auto"/>
          <w:sz w:val="24"/>
          <w:highlight w:val="none"/>
        </w:rPr>
        <w:t xml:space="preserve">3.2</w:t>
      </w:r>
      <w:r>
        <w:rPr>
          <w:rFonts w:hint="eastAsia" w:ascii="宋体" w:hAnsi="宋体" w:eastAsia="宋体" w:cs="宋体"/>
          <w:b/>
          <w:color w:val="auto"/>
          <w:sz w:val="24"/>
          <w:highlight w:val="none"/>
        </w:rPr>
        <w:t xml:space="preserve">进度要求</w:t>
      </w:r>
      <w:r/>
    </w:p>
    <w:p>
      <w:pPr>
        <w:pStyle w:val="975"/>
        <w:ind w:firstLine="482"/>
        <w:keepLines w:val="0"/>
        <w:spacing w:before="0" w:after="0"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rPr>
        <w:t xml:space="preserve">审查要求</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本项目流程要求是：初步成果—中间成果汇报—最终成果审议。</w:t>
      </w:r>
      <w:r/>
    </w:p>
    <w:p>
      <w:pPr>
        <w:pStyle w:val="975"/>
        <w:ind w:firstLine="482"/>
        <w:keepLines w:val="0"/>
        <w:spacing w:before="0" w:after="0"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rPr>
        <w:t xml:space="preserve">计划进度</w:t>
      </w:r>
      <w:r/>
    </w:p>
    <w:p>
      <w:pPr>
        <w:pStyle w:val="988"/>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自合同签订生效后10个月内完成，具体进度安排见下表。</w:t>
      </w:r>
      <w:r/>
    </w:p>
    <w:tbl>
      <w:tblPr>
        <w:tblStyle w:val="9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15"/>
        <w:gridCol w:w="5899"/>
        <w:gridCol w:w="1595"/>
      </w:tblGrid>
      <w:tr>
        <w:trPr>
          <w:jc w:val="center"/>
          <w:trHeight w:val="454"/>
        </w:trPr>
        <w:tc>
          <w:tcPr>
            <w:tcW w:w="423"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683"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时间</w:t>
            </w:r>
            <w:r/>
          </w:p>
        </w:tc>
        <w:tc>
          <w:tcPr>
            <w:tcW w:w="3063"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工作重点</w:t>
            </w:r>
            <w:r/>
          </w:p>
        </w:tc>
        <w:tc>
          <w:tcPr>
            <w:tcW w:w="828"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提供成果</w:t>
            </w:r>
            <w:r/>
          </w:p>
        </w:tc>
      </w:tr>
      <w:tr>
        <w:trPr>
          <w:jc w:val="center"/>
          <w:trHeight w:val="454"/>
        </w:trPr>
        <w:tc>
          <w:tcPr>
            <w:tcW w:w="42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第一阶段</w:t>
            </w:r>
            <w:r/>
          </w:p>
        </w:tc>
        <w:tc>
          <w:tcPr>
            <w:tcW w:w="3063"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确定大纲，签订合同</w:t>
            </w:r>
            <w:r/>
          </w:p>
        </w:tc>
        <w:tc>
          <w:tcPr>
            <w:tcW w:w="8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工作大纲</w:t>
            </w:r>
            <w:r/>
          </w:p>
        </w:tc>
      </w:tr>
      <w:tr>
        <w:trPr>
          <w:jc w:val="center"/>
          <w:trHeight w:val="454"/>
        </w:trPr>
        <w:tc>
          <w:tcPr>
            <w:tcW w:w="42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第二阶段</w:t>
            </w:r>
            <w:r/>
          </w:p>
        </w:tc>
        <w:tc>
          <w:tcPr>
            <w:tcW w:w="3063"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资料收集，现场调研，形成初步方案</w:t>
            </w:r>
            <w:r/>
          </w:p>
        </w:tc>
        <w:tc>
          <w:tcPr>
            <w:tcW w:w="8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初步成果</w:t>
            </w:r>
            <w:r/>
          </w:p>
        </w:tc>
      </w:tr>
      <w:tr>
        <w:trPr>
          <w:jc w:val="center"/>
          <w:trHeight w:val="454"/>
        </w:trPr>
        <w:tc>
          <w:tcPr>
            <w:tcW w:w="42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第三阶段</w:t>
            </w:r>
            <w:r/>
          </w:p>
        </w:tc>
        <w:tc>
          <w:tcPr>
            <w:tcW w:w="3063"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修改完善，形成中间成果，完成规划公示与专家论证</w:t>
            </w:r>
            <w:r/>
          </w:p>
        </w:tc>
        <w:tc>
          <w:tcPr>
            <w:tcW w:w="8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中间成果</w:t>
            </w:r>
            <w:r/>
          </w:p>
        </w:tc>
      </w:tr>
      <w:tr>
        <w:trPr>
          <w:jc w:val="center"/>
          <w:trHeight w:val="454"/>
        </w:trPr>
        <w:tc>
          <w:tcPr>
            <w:tcW w:w="42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第四阶段</w:t>
            </w:r>
            <w:r/>
          </w:p>
        </w:tc>
        <w:tc>
          <w:tcPr>
            <w:tcW w:w="3063"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修改完善，通过审查，形成最终成果，适时完成报批与数据入库工作</w:t>
            </w:r>
            <w:r/>
          </w:p>
        </w:tc>
        <w:tc>
          <w:tcPr>
            <w:tcW w:w="8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最终成果</w:t>
            </w:r>
            <w:r/>
          </w:p>
        </w:tc>
      </w:tr>
    </w:tbl>
    <w:p>
      <w:pPr>
        <w:ind w:firstLine="482"/>
        <w:spacing w:line="360" w:lineRule="auto"/>
        <w:rPr>
          <w:rFonts w:ascii="宋体" w:hAnsi="宋体"/>
          <w:b/>
          <w:bCs/>
          <w:color w:val="auto"/>
          <w:sz w:val="24"/>
          <w:szCs w:val="28"/>
          <w:highlight w:val="none"/>
        </w:rPr>
      </w:pPr>
      <w:r>
        <w:rPr>
          <w:rFonts w:hint="eastAsia" w:ascii="宋体" w:hAnsi="宋体"/>
          <w:b/>
          <w:bCs/>
          <w:color w:val="auto"/>
          <w:sz w:val="24"/>
          <w:szCs w:val="28"/>
          <w:highlight w:val="none"/>
        </w:rPr>
        <w:t xml:space="preserve">四、报价方式</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本项目报价为</w:t>
      </w:r>
      <w:r>
        <w:rPr>
          <w:rFonts w:hint="eastAsia" w:ascii="宋体" w:hAnsi="宋体"/>
          <w:b/>
          <w:bCs/>
          <w:color w:val="auto"/>
          <w:sz w:val="24"/>
          <w:szCs w:val="28"/>
          <w:highlight w:val="none"/>
          <w:u w:val="single"/>
        </w:rPr>
        <w:t xml:space="preserve">固定总价</w:t>
      </w:r>
      <w:r>
        <w:rPr>
          <w:rFonts w:hint="eastAsia" w:ascii="宋体" w:hAnsi="宋体"/>
          <w:color w:val="auto"/>
          <w:sz w:val="24"/>
          <w:szCs w:val="28"/>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报价货币为人民币，评审时以人民币为准。</w:t>
      </w:r>
      <w:r/>
    </w:p>
    <w:p>
      <w:pPr>
        <w:ind w:firstLine="482"/>
        <w:spacing w:line="360" w:lineRule="auto"/>
        <w:rPr>
          <w:rFonts w:ascii="宋体" w:hAnsi="宋体"/>
          <w:b/>
          <w:bCs/>
          <w:color w:val="auto"/>
          <w:sz w:val="24"/>
          <w:szCs w:val="28"/>
          <w:highlight w:val="none"/>
        </w:rPr>
      </w:pPr>
      <w:r>
        <w:rPr>
          <w:rFonts w:hint="eastAsia" w:ascii="宋体" w:hAnsi="宋体"/>
          <w:b/>
          <w:bCs/>
          <w:color w:val="auto"/>
          <w:sz w:val="24"/>
          <w:szCs w:val="28"/>
          <w:highlight w:val="none"/>
        </w:rPr>
        <w:t xml:space="preserve">五、付款方式</w:t>
      </w:r>
      <w:r/>
    </w:p>
    <w:p>
      <w:pPr>
        <w:ind w:firstLine="480"/>
        <w:spacing w:line="360" w:lineRule="auto"/>
        <w:rPr>
          <w:rFonts w:hint="eastAsia" w:ascii="宋体" w:hAnsi="宋体"/>
          <w:color w:val="auto"/>
          <w:sz w:val="24"/>
          <w:szCs w:val="28"/>
          <w:highlight w:val="none"/>
        </w:rPr>
      </w:pPr>
      <w:r/>
      <w:bookmarkStart w:id="751" w:name="_GoBack"/>
      <w:r>
        <w:rPr>
          <w:rFonts w:hint="eastAsia" w:ascii="宋体" w:hAnsi="宋体"/>
          <w:color w:val="auto"/>
          <w:sz w:val="24"/>
          <w:szCs w:val="28"/>
          <w:highlight w:val="none"/>
        </w:rPr>
        <w:t xml:space="preserve">1.供应商提交最终成果，经采购人确认并通过验收合格后，支付合同款项。</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2.成交供应商申请款项时向采购方提供等额的增值税发票。 </w:t>
      </w:r>
      <w:bookmarkEnd w:id="751"/>
      <w:r/>
    </w:p>
    <w:p>
      <w:pPr>
        <w:rPr>
          <w:rFonts w:hint="eastAsia" w:ascii="宋体" w:hAnsi="宋体"/>
          <w:color w:val="auto"/>
          <w:sz w:val="24"/>
          <w:szCs w:val="28"/>
          <w:highlight w:val="none"/>
        </w:rPr>
      </w:pPr>
      <w:r>
        <w:rPr>
          <w:rFonts w:hint="eastAsia" w:ascii="宋体" w:hAnsi="宋体"/>
          <w:color w:val="auto"/>
          <w:sz w:val="24"/>
          <w:szCs w:val="28"/>
          <w:highlight w:val="none"/>
        </w:rPr>
        <w:br w:type="page" w:clear="all"/>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第五章   合同草案条款</w:t>
      </w:r>
      <w:bookmarkEnd w:id="675"/>
      <w:r/>
      <w:r/>
    </w:p>
    <w:p>
      <w:pPr>
        <w:pStyle w:val="1165"/>
        <w:ind w:firstLine="0"/>
        <w:jc w:val="both"/>
        <w:spacing w:line="360" w:lineRule="auto"/>
        <w:rPr>
          <w:rFonts w:hAnsi="宋体" w:cs="宋体"/>
          <w:b/>
          <w:color w:val="auto"/>
          <w:highlight w:val="none"/>
        </w:rPr>
      </w:pPr>
      <w:r>
        <w:rPr>
          <w:rFonts w:hAnsi="宋体" w:cs="宋体"/>
          <w:b/>
          <w:color w:val="auto"/>
          <w:highlight w:val="none"/>
        </w:rPr>
      </w:r>
      <w:r/>
    </w:p>
    <w:p>
      <w:pPr>
        <w:pStyle w:val="993"/>
        <w:numPr>
          <w:ilvl w:val="0"/>
          <w:numId w:val="0"/>
        </w:numPr>
        <w:ind w:firstLine="482"/>
        <w:spacing w:line="400" w:lineRule="exact"/>
        <w:rPr>
          <w:rFonts w:hAnsi="宋体" w:cs="宋体"/>
          <w:color w:val="auto"/>
          <w:sz w:val="24"/>
          <w:highlight w:val="none"/>
        </w:rPr>
      </w:pPr>
      <w:r>
        <w:rPr>
          <w:rFonts w:hint="eastAsia" w:hAnsi="宋体" w:cs="宋体"/>
          <w:b/>
          <w:color w:val="auto"/>
          <w:sz w:val="24"/>
          <w:highlight w:val="none"/>
          <w:lang w:val="zh-CN"/>
        </w:rPr>
        <w:t xml:space="preserve">采购人（以下称甲</w:t>
      </w:r>
      <w:r>
        <w:rPr>
          <w:rFonts w:hint="eastAsia" w:hAnsi="宋体" w:cs="宋体"/>
          <w:b/>
          <w:color w:val="auto"/>
          <w:sz w:val="24"/>
          <w:highlight w:val="none"/>
        </w:rPr>
        <w:t xml:space="preserve">方）:                       </w:t>
      </w:r>
      <w:r>
        <w:rPr>
          <w:rFonts w:hint="eastAsia" w:hAnsi="宋体" w:cs="宋体"/>
          <w:color w:val="auto"/>
          <w:sz w:val="24"/>
          <w:highlight w:val="none"/>
        </w:rPr>
        <w:t xml:space="preserve">合同编号：</w:t>
      </w:r>
      <w:r/>
    </w:p>
    <w:p>
      <w:pPr>
        <w:pStyle w:val="993"/>
        <w:numPr>
          <w:ilvl w:val="0"/>
          <w:numId w:val="0"/>
        </w:numPr>
        <w:ind w:firstLine="482"/>
        <w:spacing w:line="400" w:lineRule="exact"/>
        <w:rPr>
          <w:rFonts w:hAnsi="宋体" w:cs="宋体"/>
          <w:color w:val="auto"/>
          <w:sz w:val="24"/>
          <w:highlight w:val="none"/>
          <w:u w:val="single"/>
        </w:rPr>
      </w:pPr>
      <w:r>
        <w:rPr>
          <w:rFonts w:hint="eastAsia" w:hAnsi="宋体" w:cs="宋体"/>
          <w:b/>
          <w:color w:val="auto"/>
          <w:sz w:val="24"/>
          <w:highlight w:val="none"/>
        </w:rPr>
        <w:t xml:space="preserve">供应商（</w:t>
      </w:r>
      <w:r>
        <w:rPr>
          <w:rFonts w:hint="eastAsia" w:hAnsi="宋体" w:cs="宋体"/>
          <w:b/>
          <w:color w:val="auto"/>
          <w:sz w:val="24"/>
          <w:highlight w:val="none"/>
          <w:lang w:val="zh-CN"/>
        </w:rPr>
        <w:t xml:space="preserve">以下称</w:t>
      </w:r>
      <w:r>
        <w:rPr>
          <w:rFonts w:hint="eastAsia" w:hAnsi="宋体" w:cs="宋体"/>
          <w:b/>
          <w:color w:val="auto"/>
          <w:sz w:val="24"/>
          <w:highlight w:val="none"/>
        </w:rPr>
        <w:t xml:space="preserve">乙方）:                       </w:t>
      </w:r>
      <w:r>
        <w:rPr>
          <w:rFonts w:hint="eastAsia" w:hAnsi="宋体" w:cs="宋体"/>
          <w:color w:val="auto"/>
          <w:sz w:val="24"/>
          <w:highlight w:val="none"/>
        </w:rPr>
        <w:t xml:space="preserve">签订地点：</w:t>
      </w:r>
      <w:r/>
    </w:p>
    <w:p>
      <w:pPr>
        <w:pStyle w:val="985"/>
        <w:ind w:firstLine="5280"/>
        <w:spacing w:line="400" w:lineRule="exact"/>
        <w:rPr>
          <w:rFonts w:cs="宋体"/>
          <w:b/>
          <w:color w:val="auto"/>
          <w:sz w:val="24"/>
          <w:szCs w:val="24"/>
          <w:highlight w:val="none"/>
        </w:rPr>
      </w:pPr>
      <w:r>
        <w:rPr>
          <w:rFonts w:hint="eastAsia" w:cs="宋体"/>
          <w:color w:val="auto"/>
          <w:sz w:val="24"/>
          <w:szCs w:val="24"/>
          <w:highlight w:val="none"/>
        </w:rPr>
        <w:t xml:space="preserve">合同时间: </w:t>
      </w:r>
      <w:r>
        <w:rPr>
          <w:rFonts w:hint="eastAsia" w:cs="宋体"/>
          <w:color w:val="auto"/>
          <w:sz w:val="24"/>
          <w:szCs w:val="24"/>
          <w:highlight w:val="none"/>
          <w:u w:val="single"/>
        </w:rPr>
        <w:t xml:space="preserve">    年   月   日</w:t>
      </w:r>
      <w:r/>
    </w:p>
    <w:p>
      <w:pPr>
        <w:pStyle w:val="993"/>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甲乙双方依据《中华人民共和国民法典》以及有关法律、法规的规定，经协商一致，订立本合同，以便共同遵守。</w:t>
      </w:r>
      <w:r/>
    </w:p>
    <w:p>
      <w:pPr>
        <w:pStyle w:val="993"/>
        <w:numPr>
          <w:ilvl w:val="0"/>
          <w:numId w:val="0"/>
        </w:numPr>
        <w:ind w:firstLine="482"/>
        <w:spacing w:line="360" w:lineRule="auto"/>
        <w:rPr>
          <w:rFonts w:hAnsi="宋体" w:cs="宋体"/>
          <w:b/>
          <w:color w:val="auto"/>
          <w:sz w:val="24"/>
          <w:highlight w:val="none"/>
        </w:rPr>
      </w:pPr>
      <w:r>
        <w:rPr>
          <w:rFonts w:hint="eastAsia" w:hAnsi="宋体" w:cs="宋体"/>
          <w:b/>
          <w:color w:val="auto"/>
          <w:sz w:val="24"/>
          <w:highlight w:val="none"/>
        </w:rPr>
        <w:t xml:space="preserve">第一条 合同标的</w:t>
      </w:r>
      <w:r/>
    </w:p>
    <w:p>
      <w:pPr>
        <w:ind w:firstLine="48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color w:val="auto"/>
          <w:sz w:val="24"/>
          <w:highlight w:val="none"/>
          <w:u w:val="single"/>
          <w:lang w:val="zh-CN"/>
        </w:rPr>
        <w:t xml:space="preserve"> 新闸街道片区提升规划及单元层次详细规划研究（常州钟楼区ZLXZ01、ZLXZ02单元）</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993"/>
        <w:numPr>
          <w:ilvl w:val="0"/>
          <w:numId w:val="0"/>
        </w:numPr>
        <w:ind w:firstLine="482"/>
        <w:spacing w:line="360" w:lineRule="auto"/>
        <w:rPr>
          <w:rFonts w:hAnsi="宋体" w:cs="宋体"/>
          <w:b/>
          <w:color w:val="auto"/>
          <w:sz w:val="24"/>
          <w:highlight w:val="none"/>
          <w:lang w:val="zh-CN"/>
        </w:rPr>
      </w:pPr>
      <w:r>
        <w:rPr>
          <w:rFonts w:hint="eastAsia" w:hAnsi="宋体" w:cs="宋体"/>
          <w:b/>
          <w:color w:val="auto"/>
          <w:sz w:val="24"/>
          <w:highlight w:val="none"/>
          <w:lang w:val="zh-CN"/>
        </w:rPr>
        <w:t xml:space="preserve">服务内容：</w:t>
      </w:r>
      <w:r/>
    </w:p>
    <w:p>
      <w:pPr>
        <w:pStyle w:val="993"/>
        <w:numPr>
          <w:ilvl w:val="0"/>
          <w:numId w:val="0"/>
        </w:numPr>
        <w:ind w:firstLine="480"/>
        <w:spacing w:line="360" w:lineRule="auto"/>
        <w:rPr>
          <w:rFonts w:hAnsi="宋体" w:cs="宋体"/>
          <w:color w:val="auto"/>
          <w:sz w:val="24"/>
          <w:highlight w:val="none"/>
          <w:lang w:val="zh-CN"/>
        </w:rPr>
      </w:pPr>
      <w:r>
        <w:rPr>
          <w:rFonts w:hint="eastAsia" w:hAnsi="宋体" w:cs="宋体"/>
          <w:color w:val="auto"/>
          <w:sz w:val="24"/>
          <w:highlight w:val="none"/>
          <w:lang w:val="zh-CN"/>
        </w:rPr>
        <w:t xml:space="preserve">本项目为：</w:t>
      </w:r>
      <w:r>
        <w:rPr>
          <w:rFonts w:hint="eastAsia" w:hAnsi="宋体" w:cs="宋体"/>
          <w:color w:val="auto"/>
          <w:sz w:val="24"/>
          <w:highlight w:val="none"/>
          <w:u w:val="single"/>
          <w:lang w:val="zh-CN"/>
        </w:rPr>
        <w:t xml:space="preserve">新闸街道片区提升规划及单元层次详细规划研究（常州钟楼区ZLXZ01、ZLXZ02单元） </w:t>
      </w:r>
      <w:r>
        <w:rPr>
          <w:rFonts w:hint="eastAsia" w:hAnsi="宋体" w:cs="宋体"/>
          <w:color w:val="auto"/>
          <w:sz w:val="24"/>
          <w:highlight w:val="none"/>
          <w:lang w:val="zh-CN"/>
        </w:rPr>
        <w:t xml:space="preserve">。</w:t>
      </w:r>
      <w:r/>
    </w:p>
    <w:p>
      <w:pPr>
        <w:pStyle w:val="993"/>
        <w:numPr>
          <w:ilvl w:val="0"/>
          <w:numId w:val="0"/>
        </w:numPr>
        <w:ind w:firstLine="480"/>
        <w:spacing w:line="360" w:lineRule="auto"/>
        <w:rPr>
          <w:rFonts w:hAnsi="宋体" w:cs="宋体"/>
          <w:color w:val="auto"/>
          <w:sz w:val="24"/>
          <w:highlight w:val="none"/>
          <w:u w:val="single"/>
          <w:lang w:val="zh-CN"/>
        </w:rPr>
      </w:pPr>
      <w:r>
        <w:rPr>
          <w:rFonts w:hint="eastAsia" w:hAnsi="宋体" w:cs="宋体"/>
          <w:color w:val="auto"/>
          <w:sz w:val="24"/>
          <w:highlight w:val="none"/>
          <w:lang w:val="zh-CN"/>
        </w:rPr>
        <w:t xml:space="preserve">服务范围：</w:t>
      </w:r>
      <w:r>
        <w:rPr>
          <w:rFonts w:hint="eastAsia" w:hAnsi="宋体" w:cs="宋体"/>
          <w:color w:val="auto"/>
          <w:sz w:val="24"/>
          <w:highlight w:val="none"/>
          <w:u w:val="single"/>
          <w:lang w:val="zh-CN"/>
        </w:rPr>
        <w:t xml:space="preserve">为贯彻落实《自然资源部关于加强国土</w:t>
      </w:r>
      <w:r>
        <w:rPr>
          <w:rFonts w:hint="eastAsia" w:hAnsi="宋体" w:cs="宋体"/>
          <w:color w:val="auto"/>
          <w:sz w:val="24"/>
          <w:highlight w:val="none"/>
          <w:u w:val="single"/>
          <w:lang w:val="zh-CN"/>
        </w:rPr>
        <w:t xml:space="preserve">空间详细规划工作的通知》（自然资发〔2023〕43号），结合《支持城市更新的规划与土地政策指引（2023版）》（自然资办发〔2023〕47号）、《江苏省城镇开发边界内详细规划编制指南（试行）》中相关要求，在常州发展新阶段、政策提出新要求、区域建设新方向的背景下，应重新审视新闸片区功能定位及布局，植入内涵式发展思维，落实上位规划引导要求，从区域角度对新闸片区进行整体统筹、多元协同，从发展战略、功能定位、业态策划、用地布局及空间形态等方面提出科学合理的方案，并编制单元层次的详细规划以全面适应国土空间规划新体系，</w:t>
      </w:r>
      <w:r>
        <w:rPr>
          <w:rFonts w:hint="eastAsia"/>
          <w:color w:val="auto"/>
          <w:sz w:val="24"/>
          <w:highlight w:val="none"/>
          <w:u w:val="single"/>
        </w:rPr>
        <w:t xml:space="preserve">分类完成街区层次详细规划的编制，</w:t>
      </w:r>
      <w:r>
        <w:rPr>
          <w:rFonts w:hint="eastAsia" w:hAnsi="宋体" w:cs="宋体"/>
          <w:color w:val="auto"/>
          <w:sz w:val="24"/>
          <w:highlight w:val="none"/>
          <w:u w:val="single"/>
          <w:lang w:val="zh-CN"/>
        </w:rPr>
        <w:t xml:space="preserve">推进精细化治理管控。</w:t>
      </w:r>
      <w:r/>
    </w:p>
    <w:p>
      <w:pPr>
        <w:pStyle w:val="993"/>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lang w:val="zh-CN"/>
        </w:rPr>
        <w:t xml:space="preserve">服务期限：</w:t>
      </w:r>
      <w:r>
        <w:rPr>
          <w:rFonts w:hint="eastAsia" w:hAnsi="宋体" w:cs="宋体"/>
          <w:color w:val="auto"/>
          <w:sz w:val="24"/>
          <w:highlight w:val="none"/>
          <w:u w:val="single"/>
          <w:lang w:val="zh-CN"/>
        </w:rPr>
        <w:t xml:space="preserve">自合同签订生效后10个月内完成，</w:t>
      </w:r>
      <w:r>
        <w:rPr>
          <w:rFonts w:hint="eastAsia" w:cs="宋体"/>
          <w:color w:val="auto"/>
          <w:sz w:val="24"/>
          <w:highlight w:val="none"/>
          <w:u w:val="single"/>
        </w:rPr>
        <w:t xml:space="preserve">具体根据项目需求和甲方要求完成各项目节点进度及总进度。</w:t>
      </w:r>
      <w:r/>
    </w:p>
    <w:p>
      <w:pPr>
        <w:pStyle w:val="993"/>
        <w:numPr>
          <w:ilvl w:val="0"/>
          <w:numId w:val="0"/>
        </w:numPr>
        <w:ind w:firstLine="482"/>
        <w:spacing w:line="360" w:lineRule="auto"/>
        <w:rPr>
          <w:rFonts w:hAnsi="宋体" w:cs="宋体"/>
          <w:b/>
          <w:color w:val="auto"/>
          <w:sz w:val="24"/>
          <w:highlight w:val="none"/>
        </w:rPr>
      </w:pPr>
      <w:r>
        <w:rPr>
          <w:rFonts w:hint="eastAsia" w:hAnsi="宋体" w:cs="宋体"/>
          <w:b/>
          <w:color w:val="auto"/>
          <w:sz w:val="24"/>
          <w:highlight w:val="none"/>
        </w:rPr>
        <w:t xml:space="preserve">第二条 合同价格</w:t>
      </w:r>
      <w:r/>
    </w:p>
    <w:p>
      <w:pPr>
        <w:pStyle w:val="993"/>
        <w:numPr>
          <w:ilvl w:val="0"/>
          <w:numId w:val="0"/>
        </w:numPr>
        <w:ind w:firstLine="482"/>
        <w:spacing w:line="360" w:lineRule="auto"/>
        <w:rPr>
          <w:rFonts w:hAnsi="宋体" w:cs="宋体"/>
          <w:b/>
          <w:color w:val="auto"/>
          <w:sz w:val="24"/>
          <w:highlight w:val="none"/>
        </w:rPr>
      </w:pPr>
      <w:r>
        <w:rPr>
          <w:rFonts w:hint="eastAsia" w:hAnsi="宋体" w:cs="宋体"/>
          <w:b/>
          <w:color w:val="auto"/>
          <w:sz w:val="24"/>
          <w:highlight w:val="none"/>
        </w:rPr>
        <w:t xml:space="preserve">签约合同总价（人民币，下同）：</w:t>
      </w:r>
      <w:r>
        <w:rPr>
          <w:rFonts w:hint="eastAsia" w:hAnsi="宋体" w:cs="宋体"/>
          <w:b/>
          <w:color w:val="auto"/>
          <w:sz w:val="24"/>
          <w:highlight w:val="none"/>
          <w:u w:val="single"/>
        </w:rPr>
        <w:t xml:space="preserve">             元</w:t>
      </w:r>
      <w:r>
        <w:rPr>
          <w:rFonts w:hint="eastAsia" w:hAnsi="宋体" w:cs="宋体"/>
          <w:b/>
          <w:color w:val="auto"/>
          <w:sz w:val="24"/>
          <w:highlight w:val="none"/>
        </w:rPr>
        <w:t xml:space="preserve">（小写</w:t>
      </w:r>
      <w:r>
        <w:rPr>
          <w:rFonts w:hint="eastAsia" w:hAnsi="宋体" w:cs="宋体"/>
          <w:b/>
          <w:color w:val="auto"/>
          <w:sz w:val="24"/>
          <w:highlight w:val="none"/>
          <w:u w:val="single"/>
        </w:rPr>
        <w:t xml:space="preserve">           </w:t>
      </w:r>
      <w:r>
        <w:rPr>
          <w:rFonts w:hint="eastAsia" w:hAnsi="宋体" w:cs="宋体"/>
          <w:b/>
          <w:color w:val="auto"/>
          <w:sz w:val="24"/>
          <w:highlight w:val="none"/>
        </w:rPr>
        <w:t xml:space="preserve">）。 </w:t>
      </w:r>
      <w:r/>
    </w:p>
    <w:p>
      <w:pPr>
        <w:pStyle w:val="993"/>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本合同总价包括磋商文件所确定的采购范围相应服务的提供、人员（包括工资和补贴）、专家评审</w:t>
      </w:r>
      <w:r>
        <w:rPr>
          <w:rFonts w:hint="eastAsia" w:cs="宋体"/>
          <w:color w:val="auto"/>
          <w:sz w:val="24"/>
          <w:highlight w:val="none"/>
        </w:rPr>
        <w:t xml:space="preserve">论证费</w:t>
      </w:r>
      <w:r>
        <w:rPr>
          <w:rFonts w:hint="eastAsia" w:hAnsi="宋体" w:cs="宋体"/>
          <w:color w:val="auto"/>
          <w:sz w:val="24"/>
          <w:highlight w:val="none"/>
        </w:rPr>
        <w:t xml:space="preserve">、办公场所及设施、保险、劳保、管理、各种税费、利润、税金、政策性文件规定及合同包含的所有风险、责任等各项应有费用，以及为完成该项服务项目所涉及到的一切相关费用，甲方不再支付其他任何费用。</w:t>
      </w:r>
      <w:r/>
    </w:p>
    <w:p>
      <w:pPr>
        <w:pStyle w:val="993"/>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本合同总价款还包含乙方应当提供的伴随服务/售后服务费用。</w:t>
      </w:r>
      <w:r/>
    </w:p>
    <w:p>
      <w:pPr>
        <w:pStyle w:val="993"/>
        <w:numPr>
          <w:ilvl w:val="0"/>
          <w:numId w:val="0"/>
        </w:numPr>
        <w:ind w:firstLine="482"/>
        <w:spacing w:line="360" w:lineRule="auto"/>
        <w:rPr>
          <w:rFonts w:hAnsi="宋体" w:cs="宋体"/>
          <w:b/>
          <w:color w:val="auto"/>
          <w:sz w:val="24"/>
          <w:highlight w:val="none"/>
        </w:rPr>
      </w:pPr>
      <w:r>
        <w:rPr>
          <w:rFonts w:hint="eastAsia" w:hAnsi="宋体" w:cs="宋体"/>
          <w:b/>
          <w:color w:val="auto"/>
          <w:sz w:val="24"/>
          <w:highlight w:val="none"/>
        </w:rPr>
        <w:t xml:space="preserve">第三条 组成本合同的有关文件</w:t>
      </w:r>
      <w:r/>
    </w:p>
    <w:p>
      <w:pPr>
        <w:pStyle w:val="993"/>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下列与本次采购活动有关的文件及有关附件是本合同不可分割的组成部分，与本合同具有同等法律效力，这些文件包括但不限于：</w:t>
      </w:r>
      <w:r/>
    </w:p>
    <w:p>
      <w:pPr>
        <w:pStyle w:val="993"/>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（1）竞争性磋商文件（编号：   ）          （2）乙方提供的磋商响应文件； </w:t>
      </w:r>
      <w:r/>
    </w:p>
    <w:p>
      <w:pPr>
        <w:pStyle w:val="993"/>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（3）成交通知书；                         （4）甲乙双方商定的其他文件等。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3.结算原则：</w:t>
      </w:r>
      <w:r>
        <w:rPr>
          <w:rFonts w:hint="eastAsia" w:ascii="宋体" w:hAnsi="宋体" w:cs="宋体"/>
          <w:color w:val="auto"/>
          <w:sz w:val="24"/>
          <w:highlight w:val="none"/>
          <w:u w:val="single"/>
        </w:rPr>
        <w:t xml:space="preserve">固定总价</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4.付款方式：</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w:t>
      </w:r>
      <w:r>
        <w:rPr>
          <w:rFonts w:hint="eastAsia" w:ascii="宋体" w:hAnsi="宋体"/>
          <w:color w:val="auto"/>
          <w:sz w:val="24"/>
          <w:szCs w:val="28"/>
          <w:highlight w:val="none"/>
          <w:u w:val="single"/>
          <w:lang w:val="en-US" w:eastAsia="zh-CN"/>
        </w:rPr>
        <w:t xml:space="preserve">乙方</w:t>
      </w:r>
      <w:r>
        <w:rPr>
          <w:rFonts w:hint="eastAsia" w:ascii="宋体" w:hAnsi="宋体"/>
          <w:color w:val="auto"/>
          <w:sz w:val="24"/>
          <w:szCs w:val="28"/>
          <w:highlight w:val="none"/>
          <w:u w:val="single"/>
        </w:rPr>
        <w:t xml:space="preserve">提交最终成果，经</w:t>
      </w:r>
      <w:r>
        <w:rPr>
          <w:rFonts w:hint="eastAsia" w:ascii="宋体" w:hAnsi="宋体"/>
          <w:color w:val="auto"/>
          <w:sz w:val="24"/>
          <w:szCs w:val="28"/>
          <w:highlight w:val="none"/>
          <w:u w:val="single"/>
          <w:lang w:val="en-US" w:eastAsia="zh-CN"/>
        </w:rPr>
        <w:t xml:space="preserve">甲方</w:t>
      </w:r>
      <w:r>
        <w:rPr>
          <w:rFonts w:hint="eastAsia" w:ascii="宋体" w:hAnsi="宋体"/>
          <w:color w:val="auto"/>
          <w:sz w:val="24"/>
          <w:szCs w:val="28"/>
          <w:highlight w:val="none"/>
          <w:u w:val="single"/>
        </w:rPr>
        <w:t xml:space="preserve">确认并通过验收合格后，支付合同款项。</w:t>
      </w:r>
      <w:r/>
    </w:p>
    <w:p>
      <w:pPr>
        <w:ind w:firstLine="480"/>
        <w:spacing w:line="360" w:lineRule="auto"/>
        <w:rPr>
          <w:rFonts w:ascii="宋体" w:hAnsi="宋体"/>
          <w:color w:val="auto"/>
          <w:sz w:val="24"/>
          <w:szCs w:val="28"/>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lang w:val="en-US" w:eastAsia="zh-CN"/>
        </w:rPr>
        <w:t xml:space="preserve">乙方</w:t>
      </w:r>
      <w:r>
        <w:rPr>
          <w:rFonts w:hint="eastAsia" w:ascii="宋体" w:hAnsi="宋体"/>
          <w:color w:val="auto"/>
          <w:sz w:val="24"/>
          <w:szCs w:val="28"/>
          <w:highlight w:val="none"/>
          <w:u w:val="single"/>
        </w:rPr>
        <w:t xml:space="preserve">申请款项时向</w:t>
      </w:r>
      <w:r>
        <w:rPr>
          <w:rFonts w:hint="eastAsia" w:ascii="宋体" w:hAnsi="宋体"/>
          <w:color w:val="auto"/>
          <w:sz w:val="24"/>
          <w:szCs w:val="28"/>
          <w:highlight w:val="none"/>
          <w:u w:val="single"/>
          <w:lang w:val="en-US" w:eastAsia="zh-CN"/>
        </w:rPr>
        <w:t xml:space="preserve">甲方</w:t>
      </w:r>
      <w:r>
        <w:rPr>
          <w:rFonts w:hint="eastAsia" w:ascii="宋体" w:hAnsi="宋体"/>
          <w:color w:val="auto"/>
          <w:sz w:val="24"/>
          <w:szCs w:val="28"/>
          <w:highlight w:val="none"/>
          <w:u w:val="single"/>
        </w:rPr>
        <w:t xml:space="preserve">提供等额的增值税发票。</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工作进度</w:t>
      </w:r>
      <w:r/>
    </w:p>
    <w:tbl>
      <w:tblPr>
        <w:tblStyle w:val="9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15"/>
        <w:gridCol w:w="5899"/>
        <w:gridCol w:w="1595"/>
      </w:tblGrid>
      <w:tr>
        <w:trPr>
          <w:jc w:val="center"/>
          <w:trHeight w:val="454"/>
        </w:trPr>
        <w:tc>
          <w:tcPr>
            <w:tcW w:w="423"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683"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时间</w:t>
            </w:r>
            <w:r/>
          </w:p>
        </w:tc>
        <w:tc>
          <w:tcPr>
            <w:tcW w:w="3063"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工作重点</w:t>
            </w:r>
            <w:r/>
          </w:p>
        </w:tc>
        <w:tc>
          <w:tcPr>
            <w:tcW w:w="828" w:type="pct"/>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提供成果</w:t>
            </w:r>
            <w:r/>
          </w:p>
        </w:tc>
      </w:tr>
      <w:tr>
        <w:trPr>
          <w:jc w:val="center"/>
          <w:trHeight w:val="454"/>
        </w:trPr>
        <w:tc>
          <w:tcPr>
            <w:tcW w:w="42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第一阶段</w:t>
            </w:r>
            <w:r/>
          </w:p>
        </w:tc>
        <w:tc>
          <w:tcPr>
            <w:tcW w:w="3063"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确定大纲，签订合同</w:t>
            </w:r>
            <w:r/>
          </w:p>
        </w:tc>
        <w:tc>
          <w:tcPr>
            <w:tcW w:w="8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工作大纲</w:t>
            </w:r>
            <w:r/>
          </w:p>
        </w:tc>
      </w:tr>
      <w:tr>
        <w:trPr>
          <w:jc w:val="center"/>
          <w:trHeight w:val="454"/>
        </w:trPr>
        <w:tc>
          <w:tcPr>
            <w:tcW w:w="42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第二阶段</w:t>
            </w:r>
            <w:r/>
          </w:p>
        </w:tc>
        <w:tc>
          <w:tcPr>
            <w:tcW w:w="3063"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资料收集，现场调研，形成初步方案</w:t>
            </w:r>
            <w:r/>
          </w:p>
        </w:tc>
        <w:tc>
          <w:tcPr>
            <w:tcW w:w="8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初步成果</w:t>
            </w:r>
            <w:r/>
          </w:p>
        </w:tc>
      </w:tr>
      <w:tr>
        <w:trPr>
          <w:jc w:val="center"/>
          <w:trHeight w:val="454"/>
        </w:trPr>
        <w:tc>
          <w:tcPr>
            <w:tcW w:w="42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第三阶段</w:t>
            </w:r>
            <w:r/>
          </w:p>
        </w:tc>
        <w:tc>
          <w:tcPr>
            <w:tcW w:w="3063"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修改完善，形成中间成果，完成规划公示与专家论证</w:t>
            </w:r>
            <w:r/>
          </w:p>
        </w:tc>
        <w:tc>
          <w:tcPr>
            <w:tcW w:w="8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中间成果</w:t>
            </w:r>
            <w:r/>
          </w:p>
        </w:tc>
      </w:tr>
      <w:tr>
        <w:trPr>
          <w:jc w:val="center"/>
          <w:trHeight w:val="454"/>
        </w:trPr>
        <w:tc>
          <w:tcPr>
            <w:tcW w:w="42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68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第四阶段</w:t>
            </w:r>
            <w:r/>
          </w:p>
        </w:tc>
        <w:tc>
          <w:tcPr>
            <w:tcW w:w="3063" w:type="pct"/>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修改完善，形成成果，完成报批与数据入库工作</w:t>
            </w:r>
            <w:r/>
          </w:p>
        </w:tc>
        <w:tc>
          <w:tcPr>
            <w:tcW w:w="828"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最终成果</w:t>
            </w:r>
            <w:r/>
          </w:p>
        </w:tc>
      </w:tr>
    </w:tbl>
    <w:p>
      <w:pPr>
        <w:ind w:left="47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双方职责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1.甲方权利义务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（1）甲方有责任为乙方完成本合同规定工作任务在合理范围内提供必要的支持，包括但不限于提供合法、有效的基础资料、配合调研工作、对乙方提供成果及时反馈意见、组织成果交流、论证、报批、验收等。</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（2）甲方应按照本合同相关规定支付费用，如果甲方未按照规定按时支付各阶段费用，则甲方应当顺延乙方提交相应各阶段成果的时间，因不可抗力或乙方原因造成的除外。</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（3）甲方有权随时监督乙方工作和进度，并提出合理的修改建议或方案，乙方应积极配合完成。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2.乙方权利义务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（2）乙方应按本合同相关规定交付成果(当出现有关交付文档顺延的情况除外)。乙方应对提交成果的深度、及时性、完整性、正确性等负责。如果成果中出现了遗漏或错误，乙方应无条件负责修改或补充。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（3）乙方应参加成果交流、论证、审查、验收等会议，并根据会议意见负责工作任务范围内的必要调整及补充。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如乙方因本项目工作的需要与第三方进行互补性专业合作的，但事先须征得甲方书面同意，乙方需确保与第三方的专业合作的工作进度及工作质量，同时乙方必须要求此第三方履行与乙方同样的保密义务，且甲方对前述合作内容无需另行支付任何其他费用。</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成果权属和保密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1.成果权属</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（1）甲方付清全部款项后，本合同项下乙方所完成的研究报告、数据库、图纸、文档等在内的所有成果的所有权属甲方单独所有。</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（2）经甲方书面同意后，乙方可享有本合同项目中间或最终成果的相关权利：</w:t>
      </w:r>
      <w:r/>
    </w:p>
    <w:p>
      <w:pPr>
        <w:ind w:firstLine="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① 利用本合同项目中间或最终成果用于学术研究、学术交流、发表论文或著作。</w:t>
      </w:r>
      <w:r/>
    </w:p>
    <w:p>
      <w:pPr>
        <w:ind w:firstLine="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以项目承担方的身份使用甲方已公开的成果对外宣传的权利。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经甲方书面同意，乙方仅可在其他商务合作中作为经典案例引用或其他合理使用；乙方无权就提交给甲方的规划成果再行转卖或许可他人使用，或利用该规划成果获取除上述合理使用以外的其他经济利益。如因此造成甲方损失的，乙方应负责赔偿。</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2.保密条款</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（1）乙方要求甲方提供数据、资料的，乙方需按甲方要求签署相关保密承诺书。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ind w:firstLine="482"/>
        <w:spacing w:line="360" w:lineRule="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第八条   履约保证金</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bidi="ar"/>
        </w:rPr>
        <w:t xml:space="preserve">无。</w:t>
      </w:r>
      <w:r/>
    </w:p>
    <w:p>
      <w:pPr>
        <w:ind w:firstLine="482"/>
        <w:spacing w:before="120" w:after="120"/>
        <w:rPr>
          <w:rFonts w:ascii="宋体" w:hAnsi="宋体" w:cs="宋体"/>
          <w:color w:val="auto"/>
          <w:sz w:val="24"/>
          <w:highlight w:val="none"/>
        </w:rPr>
      </w:pPr>
      <w:r>
        <w:rPr>
          <w:rFonts w:hint="eastAsia" w:ascii="宋体" w:hAnsi="宋体" w:cs="宋体"/>
          <w:b/>
          <w:color w:val="auto"/>
          <w:sz w:val="24"/>
          <w:highlight w:val="none"/>
        </w:rPr>
        <w:t xml:space="preserve">第九条  履约保证和项目验收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rPr>
        <w:t xml:space="preserve">1.甲乙双方均需按《江苏省政府采购履约验收管理办法》的通知（苏财规〔2024〕7号）规定执行项目的履约验收。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乙方应按照采购文件规定的服务要求、质量标准向甲方提供服</w:t>
      </w:r>
      <w:r>
        <w:rPr>
          <w:rFonts w:hint="eastAsia" w:ascii="宋体" w:hAnsi="宋体" w:cs="宋体"/>
          <w:color w:val="auto"/>
          <w:sz w:val="24"/>
          <w:szCs w:val="24"/>
          <w:highlight w:val="none"/>
          <w:lang w:val="en-US" w:eastAsia="zh-CN"/>
        </w:rPr>
        <w:t xml:space="preserve">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甲方依法组织履约验收工作。</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bidi="ar"/>
        </w:rPr>
        <w:t xml:space="preserve">第十条  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甲、乙任何一方不履行本合同责任或者履行本合同责任不符合本合同规定的，应当承担继续履行、采取补救措施或者赔偿损失等违约责任。损失赔偿金额总额以甲方应向乙方已支付的费用为限，在任何情况下累计赔偿金额不超过合同价款总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2.本合同生效后，因甲方单方原因中途终止或解除本合同的，双方应根据乙方已完成的工作量支付相应的合理费用（如有），如甲方已支付的，经双方结算后，乙方应将剩余费用无息退还至甲方。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3.本合同生效后，因乙方单方原因中途终止或解除合同时，乙方应无息返还甲方已经支付但未实际完成相应工作任务的费用，并按照甲方实际损失进行赔偿。</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乙方未经甲方书面同意或因乙方单方原因导致逾期完成工作成果的，每延误壹个工作日提交工作成果，应减收该阶段费用的千分之二；逾期三十(30)日或以上时，甲方有权决定是否解除合同，如甲方选择解除合同的，乙方应应无息返还甲方已经支付的费用并按照合同价款的总额想甲方支付违约金。</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bidi="ar"/>
        </w:rPr>
        <w:t xml:space="preserve">第十一条 合同变更、解除和终止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1.甲、乙双方因故需变更或终止本合同时，应提前7个工作日书面通知对方，对本合同中的遗留问题取得一致意见，形成书面协议作为本合同附件。未达成协议前，本合同继续有效。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2.本合同以乙方向甲方提供本合同规定的全部成果文件，甲方按本合同规定付清全部费用之日起，终止本合同关系，本合同另有条款约定的除外。</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bidi="ar"/>
        </w:rPr>
        <w:t xml:space="preserve">第十二条  争议处理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本合同发生争议时，甲、乙双方应友好协商解决。如协商不成的，双方同意由项目所在地人民法院管辖。</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bidi="ar"/>
        </w:rPr>
        <w:t xml:space="preserve">第十三条    合同生效和其他</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1.本合同经甲乙双方授权代表签订并加盖公章后，自签订之日起生效。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2.由于不可抗力因素致使合同无法履行时，甲、乙双方应及时协商解决。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3.未尽事宜，经甲、乙双方协商一致，由采购代理机构见证，签订补充协议，补充协议与本合同具有同等效力。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4.本合同一式肆份，甲乙双方各执贰份，各份均具同等法律效力。</w:t>
      </w: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lang w:bidi="ar"/>
        </w:rPr>
        <w:t xml:space="preserve">5.其他未尽事宜，参照相关法律，双方协商解决。</w:t>
      </w:r>
      <w:r/>
    </w:p>
    <w:p>
      <w:pPr>
        <w:ind w:firstLine="482"/>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委托代理人：                             委托代理人：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联系电话：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开户银行：</w:t>
      </w:r>
      <w:r/>
    </w:p>
    <w:p>
      <w:pPr>
        <w:ind w:firstLine="52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ascii="宋体" w:hAnsi="宋体" w:cs="宋体"/>
          <w:b/>
          <w:bCs/>
          <w:color w:val="auto"/>
          <w:sz w:val="24"/>
          <w:highlight w:val="none"/>
        </w:rPr>
        <w:br w:type="page" w:clear="all"/>
      </w:r>
      <w:r/>
    </w:p>
    <w:p>
      <w:pPr>
        <w:pStyle w:val="1164"/>
        <w:jc w:val="left"/>
        <w:keepLines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附：</w:t>
      </w:r>
      <w:r/>
    </w:p>
    <w:p>
      <w:pPr>
        <w:pStyle w:val="1164"/>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215"/>
        <w:ind w:firstLine="480"/>
        <w:spacing w:after="240" w:afterAutospacing="0" w:line="360" w:lineRule="auto"/>
        <w:rPr>
          <w:color w:val="auto"/>
          <w:highlight w:val="none"/>
        </w:rPr>
      </w:pPr>
      <w:r>
        <w:rPr>
          <w:rFonts w:hint="eastAsia"/>
          <w:color w:val="auto"/>
          <w:highlight w:val="none"/>
        </w:rPr>
        <w:t xml:space="preserve">采购人（甲方）：                        供应商（乙方）：</w:t>
      </w:r>
      <w:r/>
    </w:p>
    <w:p>
      <w:pPr>
        <w:pStyle w:val="1215"/>
        <w:ind w:firstLine="480"/>
        <w:spacing w:before="0" w:beforeAutospacing="0" w:after="0" w:afterAutospacing="0" w:line="360"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215"/>
        <w:ind w:firstLine="480"/>
        <w:spacing w:before="0" w:beforeAutospacing="0" w:after="0" w:afterAutospacing="0" w:line="360"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215"/>
        <w:ind w:firstLine="480"/>
        <w:spacing w:before="0" w:beforeAutospacing="0" w:after="0" w:afterAutospacing="0" w:line="360"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215"/>
        <w:ind w:firstLine="480"/>
        <w:spacing w:before="0" w:beforeAutospacing="0" w:after="0" w:afterAutospacing="0" w:line="360"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215"/>
        <w:ind w:firstLine="480"/>
        <w:spacing w:before="0" w:beforeAutospacing="0" w:after="0" w:afterAutospacing="0" w:line="360"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215"/>
        <w:ind w:firstLine="480"/>
        <w:spacing w:before="0" w:beforeAutospacing="0" w:after="0" w:afterAutospacing="0" w:line="360"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215"/>
        <w:ind w:firstLine="480"/>
        <w:spacing w:before="0" w:beforeAutospacing="0" w:after="0" w:afterAutospacing="0" w:line="360"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215"/>
        <w:ind w:firstLine="480"/>
        <w:spacing w:before="0" w:beforeAutospacing="0" w:after="0" w:afterAutospacing="0" w:line="360"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215"/>
        <w:ind w:firstLine="480"/>
        <w:spacing w:before="0" w:beforeAutospacing="0" w:after="0" w:afterAutospacing="0" w:line="360"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215"/>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215"/>
        <w:spacing w:before="0" w:beforeAutospacing="0" w:after="0" w:afterAutospacing="0"/>
        <w:rPr>
          <w:bCs/>
          <w:color w:val="auto"/>
          <w:highlight w:val="none"/>
        </w:rPr>
      </w:pPr>
      <w:r>
        <w:rPr>
          <w:bCs/>
          <w:color w:val="auto"/>
          <w:highlight w:val="none"/>
        </w:rPr>
      </w:r>
      <w:r/>
    </w:p>
    <w:p>
      <w:pPr>
        <w:pStyle w:val="1215"/>
        <w:spacing w:before="0" w:beforeAutospacing="0" w:after="0" w:afterAutospacing="0"/>
        <w:rPr>
          <w:color w:val="auto"/>
          <w:highlight w:val="none"/>
        </w:rPr>
      </w:pPr>
      <w:r>
        <w:rPr>
          <w:rFonts w:hint="eastAsia"/>
          <w:bCs/>
          <w:color w:val="auto"/>
          <w:highlight w:val="none"/>
        </w:rPr>
        <w:t xml:space="preserve">                  年   月   日                            年   月   日</w:t>
      </w:r>
      <w:r/>
    </w:p>
    <w:p>
      <w:pPr>
        <w:pStyle w:val="1197"/>
        <w:rPr>
          <w:color w:val="auto"/>
          <w:highlight w:val="none"/>
        </w:rPr>
      </w:pPr>
      <w:r>
        <w:rPr>
          <w:color w:val="auto"/>
          <w:highlight w:val="none"/>
        </w:rPr>
      </w:r>
      <w:r/>
    </w:p>
    <w:p>
      <w:pPr>
        <w:jc w:val="center"/>
        <w:spacing w:line="360" w:lineRule="auto"/>
        <w:rPr>
          <w:b/>
          <w:color w:val="auto"/>
          <w:sz w:val="36"/>
          <w:szCs w:val="36"/>
          <w:highlight w:val="none"/>
        </w:rPr>
        <w:outlineLvl w:val="0"/>
      </w:pPr>
      <w:r/>
      <w:bookmarkStart w:id="676" w:name="_Toc12791"/>
      <w:r/>
      <w:r/>
    </w:p>
    <w:p>
      <w:pPr>
        <w:jc w:val="center"/>
        <w:spacing w:line="360" w:lineRule="auto"/>
        <w:rPr>
          <w:b/>
          <w:color w:val="auto"/>
          <w:sz w:val="36"/>
          <w:szCs w:val="36"/>
          <w:highlight w:val="none"/>
        </w:rPr>
        <w:outlineLvl w:val="0"/>
      </w:pPr>
      <w:r>
        <w:rPr>
          <w:b/>
          <w:color w:val="auto"/>
          <w:sz w:val="36"/>
          <w:szCs w:val="36"/>
          <w:highlight w:val="none"/>
        </w:rPr>
        <w:t xml:space="preserve">第六章   响应文件格式</w:t>
      </w:r>
      <w:bookmarkEnd w:id="67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p>
    <w:p>
      <w:pPr>
        <w:rPr>
          <w:rFonts w:ascii="宋体" w:hAnsi="宋体"/>
          <w:b/>
          <w:color w:val="auto"/>
          <w:sz w:val="36"/>
          <w:highlight w:val="none"/>
        </w:rPr>
      </w:pPr>
      <w:r>
        <w:rPr>
          <w:rFonts w:hint="eastAsia" w:ascii="宋体" w:hAnsi="宋体"/>
          <w:b/>
          <w:color w:val="auto"/>
          <w:sz w:val="36"/>
          <w:highlight w:val="none"/>
        </w:rPr>
        <w:t xml:space="preserve">      日      期 ：</w:t>
      </w:r>
      <w:r/>
    </w:p>
    <w:p>
      <w:pPr>
        <w:jc w:val="center"/>
        <w:rPr>
          <w:b/>
          <w:color w:val="auto"/>
          <w:sz w:val="32"/>
          <w:szCs w:val="32"/>
          <w:highlight w:val="none"/>
        </w:rPr>
      </w:pPr>
      <w:r>
        <w:rPr>
          <w:b/>
          <w:color w:val="auto"/>
          <w:sz w:val="32"/>
          <w:szCs w:val="32"/>
          <w:highlight w:val="none"/>
        </w:rPr>
      </w:r>
      <w:r/>
    </w:p>
    <w:p>
      <w:pPr>
        <w:rPr>
          <w:color w:val="auto"/>
          <w:sz w:val="24"/>
          <w:szCs w:val="20"/>
          <w:highlight w:val="none"/>
        </w:rPr>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166"/>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165"/>
        <w:ind w:firstLine="480"/>
        <w:spacing w:line="460" w:lineRule="exact"/>
        <w:rPr>
          <w:color w:val="auto"/>
          <w:highlight w:val="none"/>
        </w:rPr>
      </w:pPr>
      <w:r>
        <w:rPr>
          <w:color w:val="auto"/>
          <w:highlight w:val="none"/>
        </w:rPr>
      </w:r>
      <w:r/>
    </w:p>
    <w:p>
      <w:pPr>
        <w:pStyle w:val="1165"/>
        <w:ind w:firstLine="480"/>
        <w:spacing w:line="460" w:lineRule="exact"/>
        <w:rPr>
          <w:color w:val="auto"/>
          <w:highlight w:val="none"/>
        </w:rPr>
      </w:pPr>
      <w:r>
        <w:rPr>
          <w:rFonts w:hint="eastAsia"/>
          <w:color w:val="auto"/>
          <w:highlight w:val="none"/>
        </w:rPr>
        <w:t xml:space="preserve">致：常州盈泰招标有限公司</w:t>
      </w:r>
      <w:r/>
    </w:p>
    <w:p>
      <w:pPr>
        <w:pStyle w:val="1165"/>
        <w:ind w:firstLine="960"/>
        <w:spacing w:line="460" w:lineRule="exact"/>
        <w:rPr>
          <w:color w:val="auto"/>
          <w:highlight w:val="none"/>
          <w:u w:val="single"/>
        </w:rPr>
      </w:pPr>
      <w:r>
        <w:rPr>
          <w:rFonts w:hint="eastAsia"/>
          <w:color w:val="auto"/>
          <w:highlight w:val="none"/>
          <w:u w:val="single"/>
        </w:rPr>
        <w:t xml:space="preserve">（采购人名称）</w:t>
      </w:r>
      <w:r/>
    </w:p>
    <w:p>
      <w:pPr>
        <w:pStyle w:val="1165"/>
        <w:ind w:firstLine="480"/>
        <w:spacing w:line="460" w:lineRule="exact"/>
        <w:rPr>
          <w:color w:val="auto"/>
          <w:highlight w:val="none"/>
        </w:rPr>
      </w:pPr>
      <w:r>
        <w:rPr>
          <w:color w:val="auto"/>
          <w:highlight w:val="none"/>
        </w:rPr>
      </w:r>
      <w:r/>
    </w:p>
    <w:p>
      <w:pPr>
        <w:pStyle w:val="1165"/>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165"/>
        <w:ind w:firstLine="480"/>
        <w:spacing w:line="460" w:lineRule="exact"/>
        <w:rPr>
          <w:color w:val="auto"/>
          <w:highlight w:val="none"/>
        </w:rPr>
      </w:pPr>
      <w:r>
        <w:rPr>
          <w:rFonts w:hint="eastAsia"/>
          <w:color w:val="auto"/>
          <w:highlight w:val="none"/>
        </w:rPr>
        <w:t xml:space="preserve">一、我单位是按照中华人民共和国法律规定登记注册的，注册地点为，全称为，统一社会信用代码为 ，法定代表人（单位负责人）为，具有独立承担民事责任的能力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165"/>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165"/>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165"/>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165"/>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165"/>
        <w:ind w:firstLine="480"/>
        <w:spacing w:line="460" w:lineRule="exact"/>
        <w:rPr>
          <w:color w:val="auto"/>
          <w:highlight w:val="none"/>
        </w:rPr>
      </w:pPr>
      <w:r>
        <w:rPr>
          <w:rFonts w:hint="eastAsia"/>
          <w:color w:val="auto"/>
          <w:highlight w:val="none"/>
        </w:rPr>
        <w:t xml:space="preserve">主要设备有：</w:t>
      </w:r>
      <w:r/>
    </w:p>
    <w:p>
      <w:pPr>
        <w:pStyle w:val="1165"/>
        <w:ind w:firstLine="480"/>
        <w:spacing w:line="460" w:lineRule="exact"/>
        <w:rPr>
          <w:color w:val="auto"/>
          <w:highlight w:val="none"/>
        </w:rPr>
      </w:pPr>
      <w:r>
        <w:rPr>
          <w:rFonts w:hint="eastAsia"/>
          <w:color w:val="auto"/>
          <w:highlight w:val="none"/>
        </w:rPr>
        <w:t xml:space="preserve">主要专业技术能力有</w:t>
      </w:r>
      <w:r/>
    </w:p>
    <w:p>
      <w:pPr>
        <w:pStyle w:val="1165"/>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65"/>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165"/>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165"/>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p>
    <w:p>
      <w:pPr>
        <w:pStyle w:val="1165"/>
        <w:ind w:firstLine="480"/>
        <w:spacing w:line="460" w:lineRule="exact"/>
        <w:rPr>
          <w:color w:val="auto"/>
          <w:highlight w:val="none"/>
        </w:rPr>
      </w:pPr>
      <w:r>
        <w:rPr>
          <w:rFonts w:hint="eastAsia"/>
          <w:color w:val="auto"/>
          <w:highlight w:val="none"/>
        </w:rPr>
        <w:t xml:space="preserve">2、我单位直接控股的其他单位如下：</w:t>
      </w:r>
      <w:r/>
    </w:p>
    <w:p>
      <w:pPr>
        <w:pStyle w:val="1165"/>
        <w:ind w:firstLine="480"/>
        <w:spacing w:line="460" w:lineRule="exact"/>
        <w:rPr>
          <w:color w:val="auto"/>
          <w:highlight w:val="none"/>
        </w:rPr>
      </w:pPr>
      <w:r>
        <w:rPr>
          <w:rFonts w:hint="eastAsia"/>
          <w:color w:val="auto"/>
          <w:highlight w:val="none"/>
        </w:rPr>
        <w:t xml:space="preserve">3、与我单位存在管理关系的其他单位如下：</w:t>
      </w:r>
      <w:r/>
    </w:p>
    <w:p>
      <w:pPr>
        <w:pStyle w:val="1165"/>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165"/>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165"/>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165"/>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165"/>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165"/>
        <w:ind w:firstLine="480"/>
        <w:spacing w:line="460" w:lineRule="exact"/>
        <w:rPr>
          <w:color w:val="auto"/>
          <w:highlight w:val="none"/>
        </w:rPr>
      </w:pPr>
      <w:r>
        <w:rPr>
          <w:color w:val="auto"/>
          <w:highlight w:val="none"/>
        </w:rPr>
      </w:r>
      <w:r/>
    </w:p>
    <w:p>
      <w:pPr>
        <w:pStyle w:val="1165"/>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165"/>
        <w:ind w:firstLine="480"/>
        <w:spacing w:line="460" w:lineRule="exact"/>
        <w:rPr>
          <w:color w:val="auto"/>
          <w:highlight w:val="none"/>
        </w:rPr>
      </w:pPr>
      <w:r>
        <w:rPr>
          <w:color w:val="auto"/>
          <w:highlight w:val="none"/>
        </w:rPr>
      </w:r>
      <w:r/>
    </w:p>
    <w:p>
      <w:pPr>
        <w:pStyle w:val="1165"/>
        <w:ind w:firstLine="480"/>
        <w:spacing w:line="460" w:lineRule="exact"/>
        <w:rPr>
          <w:color w:val="auto"/>
          <w:highlight w:val="none"/>
        </w:rPr>
      </w:pPr>
      <w:r>
        <w:rPr>
          <w:color w:val="auto"/>
          <w:highlight w:val="none"/>
        </w:rPr>
      </w:r>
      <w:r/>
    </w:p>
    <w:p>
      <w:pPr>
        <w:pStyle w:val="1165"/>
        <w:ind w:firstLine="3600"/>
        <w:spacing w:line="460" w:lineRule="exact"/>
        <w:rPr>
          <w:color w:val="auto"/>
          <w:highlight w:val="none"/>
        </w:rPr>
      </w:pPr>
      <w:r>
        <w:rPr>
          <w:rFonts w:hint="eastAsia"/>
          <w:color w:val="auto"/>
          <w:highlight w:val="none"/>
        </w:rPr>
        <w:t xml:space="preserve">供应商：（加盖公章）</w:t>
      </w:r>
      <w:r/>
    </w:p>
    <w:p>
      <w:pPr>
        <w:pStyle w:val="1165"/>
        <w:ind w:firstLine="3600"/>
        <w:spacing w:line="460" w:lineRule="exact"/>
        <w:rPr>
          <w:color w:val="auto"/>
          <w:highlight w:val="none"/>
        </w:rPr>
      </w:pPr>
      <w:r>
        <w:rPr>
          <w:rFonts w:hint="eastAsia"/>
          <w:color w:val="auto"/>
          <w:highlight w:val="none"/>
        </w:rPr>
        <w:t xml:space="preserve">法定代表人（或单位负责人）签字或盖章：</w:t>
      </w:r>
      <w:r/>
    </w:p>
    <w:p>
      <w:pPr>
        <w:pStyle w:val="1165"/>
        <w:ind w:firstLine="360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b/>
          <w:bCs/>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headerReference w:type="default" r:id="rId12"/>
          <w:footerReference w:type="default" r:id="rId23"/>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jc w:val="left"/>
        <w:widowControl/>
        <w:rPr>
          <w:color w:val="auto"/>
          <w:sz w:val="24"/>
          <w:szCs w:val="20"/>
          <w:highlight w:val="none"/>
        </w:rPr>
      </w:pPr>
      <w:r>
        <w:rPr>
          <w:rFonts w:hint="eastAsia"/>
          <w:color w:val="auto"/>
          <w:sz w:val="24"/>
          <w:szCs w:val="20"/>
          <w:highlight w:val="none"/>
        </w:rPr>
        <w:t xml:space="preserve">2.1 中小企业政策</w:t>
      </w:r>
      <w:r/>
    </w:p>
    <w:p>
      <w:pPr>
        <w:jc w:val="left"/>
        <w:widowControl/>
        <w:rPr>
          <w:color w:val="auto"/>
          <w:sz w:val="24"/>
          <w:szCs w:val="20"/>
          <w:highlight w:val="none"/>
        </w:rPr>
      </w:pPr>
      <w:r>
        <w:rPr>
          <w:rFonts w:hint="eastAsia"/>
          <w:color w:val="auto"/>
          <w:sz w:val="24"/>
          <w:szCs w:val="20"/>
          <w:highlight w:val="none"/>
        </w:rPr>
        <w:t xml:space="preserve">■</w:t>
      </w:r>
      <w:r>
        <w:rPr>
          <w:color w:val="auto"/>
          <w:sz w:val="24"/>
        </w:rPr>
        <w:t xml:space="preserve">本项目不专门面向中小企业预留采购份额。</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rFonts w:hint="eastAsia"/>
          <w:color w:val="auto"/>
          <w:sz w:val="24"/>
          <w:szCs w:val="20"/>
          <w:highlight w:val="none"/>
        </w:rPr>
        <w:t xml:space="preserve">3本项目的特地资格要求</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t xml:space="preserve">3-2其他特定资格要</w:t>
      </w:r>
      <w:r>
        <w:rPr>
          <w:rFonts w:hint="eastAsia"/>
          <w:color w:val="auto"/>
          <w:sz w:val="24"/>
          <w:szCs w:val="20"/>
          <w:highlight w:val="none"/>
        </w:rPr>
        <w:t xml:space="preserve">求：</w:t>
      </w:r>
      <w:r>
        <w:rPr>
          <w:rFonts w:hint="eastAsia"/>
          <w:color w:val="auto"/>
          <w:sz w:val="24"/>
          <w:highlight w:val="none"/>
        </w:rPr>
        <w:t xml:space="preserve">供应商须具有有效的甲级城市规划编制资质证书</w:t>
      </w:r>
      <w:r>
        <w:rPr>
          <w:rFonts w:hint="eastAsia"/>
          <w:color w:val="auto"/>
          <w:sz w:val="24"/>
          <w:szCs w:val="20"/>
          <w:highlight w:val="none"/>
        </w:rPr>
        <w:t xml:space="preserve">。</w:t>
      </w:r>
      <w:r/>
    </w:p>
    <w:p>
      <w:pPr>
        <w:spacing w:line="360" w:lineRule="auto"/>
        <w:rPr>
          <w:color w:val="auto"/>
          <w:sz w:val="24"/>
          <w:szCs w:val="20"/>
          <w:highlight w:val="none"/>
        </w:rPr>
        <w:outlineLvl w:val="2"/>
      </w:pPr>
      <w:r>
        <w:rPr>
          <w:b/>
          <w:color w:val="auto"/>
          <w:sz w:val="24"/>
          <w:highlight w:val="none"/>
        </w:rPr>
        <w:br w:type="page" w:clear="all"/>
      </w:r>
      <w:bookmarkStart w:id="677" w:name="_Toc480942350"/>
      <w:r/>
      <w:bookmarkStart w:id="678" w:name="_Toc150774762"/>
      <w:r/>
      <w:bookmarkStart w:id="679" w:name="_Toc150480795"/>
      <w:r/>
      <w:bookmarkStart w:id="680" w:name="_Toc226965747"/>
      <w:r/>
      <w:bookmarkStart w:id="681" w:name="_Ref467988705"/>
      <w:r/>
      <w:bookmarkStart w:id="682" w:name="_Toc226309801"/>
      <w:r/>
      <w:bookmarkStart w:id="683" w:name="_Toc305158899"/>
      <w:r/>
      <w:bookmarkStart w:id="684" w:name="_Toc142311059"/>
      <w:r/>
      <w:bookmarkStart w:id="685" w:name="_Toc226337253"/>
      <w:r/>
      <w:bookmarkStart w:id="686" w:name="_Toc520356218"/>
      <w:r/>
      <w:bookmarkStart w:id="687" w:name="_Toc305158825"/>
      <w:r/>
      <w:bookmarkStart w:id="688" w:name="_Toc195842922"/>
      <w:r/>
      <w:bookmarkStart w:id="689" w:name="_Toc127151557"/>
      <w:r/>
      <w:bookmarkStart w:id="690" w:name="_Toc264969247"/>
      <w:r/>
      <w:bookmarkStart w:id="691" w:name="_Toc226965830"/>
      <w:r/>
      <w:bookmarkStart w:id="692" w:name="_Toc265228395"/>
      <w:r>
        <w:rPr>
          <w:rFonts w:hint="eastAsia"/>
          <w:color w:val="auto"/>
          <w:sz w:val="24"/>
          <w:highlight w:val="none"/>
        </w:rPr>
        <w:t xml:space="preserve">4</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w:t>
      </w:r>
      <w:r>
        <w:rPr>
          <w:rFonts w:hint="eastAsia"/>
          <w:color w:val="auto"/>
          <w:sz w:val="24"/>
          <w:szCs w:val="20"/>
          <w:highlight w:val="none"/>
        </w:rPr>
        <w:t xml:space="preserve">：</w:t>
      </w:r>
      <w:r>
        <w:rPr>
          <w:color w:val="auto"/>
          <w:sz w:val="24"/>
          <w:szCs w:val="20"/>
          <w:highlight w:val="none"/>
        </w:rPr>
        <w:t xml:space="preserve">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93" w:name="_Hlt520356243"/>
      <w:r/>
      <w:bookmarkEnd w:id="693"/>
      <w:r/>
      <w:bookmarkStart w:id="694" w:name="_Hlt520355938"/>
      <w:r/>
      <w:bookmarkEnd w:id="694"/>
      <w:r>
        <w:rPr>
          <w:color w:val="auto"/>
          <w:sz w:val="24"/>
          <w:highlight w:val="none"/>
        </w:rPr>
        <w:br w:type="page" w:clear="all"/>
      </w:r>
      <w:r>
        <w:rPr>
          <w:rFonts w:hint="eastAsia"/>
          <w:color w:val="auto"/>
          <w:sz w:val="24"/>
          <w:highlight w:val="none"/>
        </w:rPr>
        <w:t xml:space="preserve">5法定代表人资格证明书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192"/>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lang w:eastAsia="zh-CN"/>
        </w:rPr>
        <w:t xml:space="preserve">或盖章</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6  政府采购供应商信用承诺书</w:t>
      </w:r>
      <w:r>
        <w:rPr>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401"/>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jc w:val="left"/>
        <w:widowControl/>
        <w:rPr>
          <w:rFonts w:ascii="宋体" w:hAnsi="宋体"/>
          <w:bCs/>
          <w:color w:val="auto"/>
          <w:sz w:val="24"/>
          <w:szCs w:val="20"/>
          <w:highlight w:val="none"/>
        </w:rPr>
      </w:pPr>
      <w:r>
        <w:rPr>
          <w:color w:val="auto"/>
          <w:sz w:val="24"/>
          <w:szCs w:val="20"/>
          <w:highlight w:val="none"/>
        </w:rPr>
        <w:br w:type="page" w:clear="all"/>
      </w:r>
      <w:r>
        <w:rPr>
          <w:rFonts w:hint="eastAsia" w:ascii="宋体" w:hAnsi="宋体" w:cs="宋体"/>
          <w:bCs/>
          <w:color w:val="auto"/>
          <w:sz w:val="24"/>
          <w:highlight w:val="none"/>
        </w:rPr>
        <w:t xml:space="preserve"> 7  供应商管理关系或控股关系信息情况表（实质性格式）</w:t>
      </w:r>
      <w:r/>
    </w:p>
    <w:p>
      <w:pPr>
        <w:ind w:firstLine="560"/>
        <w:jc w:val="center"/>
        <w:spacing w:line="52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供应商管理关系或控股关系信息情况表</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供应商名称：</w:t>
      </w:r>
      <w:r/>
    </w:p>
    <w:tbl>
      <w:tblPr>
        <w:tblStyle w:val="98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2598"/>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无直接控股、管理关系的关联企业</w:t>
            </w:r>
            <w:r/>
          </w:p>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1"/>
              </w:num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1"/>
              </w:numPr>
              <w:ind w:firstLine="561"/>
              <w:jc w:val="left"/>
              <w:spacing w:line="500" w:lineRule="exact"/>
              <w:rPr>
                <w:rFonts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8</w:t>
      </w:r>
      <w:r>
        <w:rPr>
          <w:color w:val="auto"/>
          <w:sz w:val="24"/>
          <w:szCs w:val="20"/>
          <w:highlight w:val="none"/>
        </w:rPr>
        <w:t xml:space="preserve">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jc w:val="center"/>
        <w:rPr>
          <w:b/>
          <w:color w:val="auto"/>
          <w:sz w:val="36"/>
          <w:szCs w:val="36"/>
          <w:highlight w:val="none"/>
        </w:rPr>
      </w:pPr>
      <w:r/>
      <w:bookmarkStart w:id="695" w:name="_Toc226337254"/>
      <w:r/>
      <w:bookmarkStart w:id="696" w:name="_Toc264969248"/>
      <w:r/>
      <w:bookmarkStart w:id="697" w:name="_Toc305158900"/>
      <w:r/>
      <w:bookmarkStart w:id="698" w:name="_Toc226309802"/>
      <w:r/>
      <w:bookmarkStart w:id="699" w:name="_Toc305158826"/>
      <w:r/>
      <w:bookmarkStart w:id="700" w:name="_Toc195842923"/>
      <w:r/>
      <w:bookmarkStart w:id="701" w:name="_Toc226965831"/>
      <w:r/>
      <w:bookmarkStart w:id="702" w:name="_Toc164608827"/>
      <w:r/>
      <w:bookmarkStart w:id="703" w:name="_Toc226965748"/>
      <w:r/>
      <w:bookmarkStart w:id="704" w:name="_Toc265228396"/>
      <w:r/>
      <w:bookmarkStart w:id="705" w:name="_Toc164608672"/>
      <w:r>
        <w:rPr>
          <w:rFonts w:hint="eastAsia"/>
          <w:b/>
          <w:color w:val="auto"/>
          <w:sz w:val="36"/>
          <w:szCs w:val="36"/>
          <w:highlight w:val="none"/>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983"/>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0"/>
        <w:gridCol w:w="3317"/>
        <w:gridCol w:w="2097"/>
        <w:gridCol w:w="2206"/>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317"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4303"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jc w:val="left"/>
        <w:spacing w:line="312" w:lineRule="auto"/>
        <w:rPr>
          <w:rFonts w:ascii="宋体" w:hAnsi="宋体" w:cs="宋体"/>
          <w:bCs/>
          <w:color w:val="auto"/>
          <w:sz w:val="24"/>
          <w:highlight w:val="none"/>
        </w:rPr>
      </w:pPr>
      <w:r/>
      <w:bookmarkStart w:id="706" w:name="_Toc150480796"/>
      <w:r/>
      <w:bookmarkStart w:id="707" w:name="_Toc226309803"/>
      <w:r/>
      <w:bookmarkStart w:id="708" w:name="_Toc195842924"/>
      <w:r/>
      <w:bookmarkStart w:id="709" w:name="_Toc305158901"/>
      <w:r/>
      <w:bookmarkStart w:id="710" w:name="_Toc305158827"/>
      <w:r/>
      <w:bookmarkStart w:id="711" w:name="_Toc142311060"/>
      <w:r/>
      <w:bookmarkStart w:id="712" w:name="_Toc226337255"/>
      <w:r/>
      <w:bookmarkStart w:id="713" w:name="_Toc150774763"/>
      <w:r/>
      <w:bookmarkStart w:id="714" w:name="_Toc226965749"/>
      <w:r/>
      <w:bookmarkStart w:id="715" w:name="_Toc226965832"/>
      <w:r/>
      <w:bookmarkStart w:id="716" w:name="_Toc127151558"/>
      <w:r/>
      <w:bookmarkStart w:id="717" w:name="_Toc265228397"/>
      <w:r/>
      <w:bookmarkStart w:id="718" w:name="_Toc264969249"/>
      <w:r>
        <w:rPr>
          <w:color w:val="auto"/>
          <w:sz w:val="24"/>
          <w:szCs w:val="20"/>
          <w:highlight w:val="none"/>
        </w:rPr>
        <w:br w:type="page" w:clear="all"/>
      </w:r>
      <w:r>
        <w:rPr>
          <w:rFonts w:hint="eastAsia"/>
          <w:color w:val="auto"/>
          <w:sz w:val="24"/>
          <w:szCs w:val="20"/>
          <w:highlight w:val="none"/>
        </w:rPr>
        <w:t xml:space="preserve">9</w:t>
      </w:r>
      <w:r>
        <w:rPr>
          <w:color w:val="auto"/>
          <w:sz w:val="24"/>
          <w:szCs w:val="20"/>
          <w:highlight w:val="none"/>
        </w:rPr>
        <w:t xml:space="preserve">  </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Start w:id="719" w:name="_Toc305158830"/>
      <w:r/>
      <w:bookmarkStart w:id="720" w:name="_Toc150480798"/>
      <w:r/>
      <w:bookmarkStart w:id="721" w:name="_Toc226337258"/>
      <w:r/>
      <w:bookmarkStart w:id="722" w:name="_Toc265228400"/>
      <w:r/>
      <w:bookmarkStart w:id="723" w:name="_Toc195842927"/>
      <w:r/>
      <w:bookmarkStart w:id="724" w:name="_Toc226965752"/>
      <w:r/>
      <w:bookmarkStart w:id="725" w:name="_Toc305158904"/>
      <w:r/>
      <w:bookmarkStart w:id="726" w:name="_Toc264969252"/>
      <w:r/>
      <w:bookmarkStart w:id="727" w:name="_Toc226965835"/>
      <w:r/>
      <w:bookmarkStart w:id="728" w:name="_Toc150774765"/>
      <w:r/>
      <w:bookmarkStart w:id="729" w:name="_Toc142311062"/>
      <w:r/>
      <w:bookmarkStart w:id="730" w:name="_Toc127151562"/>
      <w:r/>
      <w:bookmarkStart w:id="731" w:name="_Toc226309806"/>
      <w:r/>
      <w:bookmarkStart w:id="732" w:name="_Toc265228399"/>
      <w:r/>
      <w:bookmarkStart w:id="733" w:name="_Toc226309805"/>
      <w:r/>
      <w:bookmarkStart w:id="734" w:name="_Toc226965751"/>
      <w:r/>
      <w:bookmarkStart w:id="735" w:name="_Toc150774764"/>
      <w:r/>
      <w:bookmarkStart w:id="736" w:name="_Toc305158829"/>
      <w:r/>
      <w:bookmarkStart w:id="737" w:name="_Toc127151561"/>
      <w:r/>
      <w:bookmarkStart w:id="738" w:name="_Toc305158903"/>
      <w:r/>
      <w:bookmarkStart w:id="739" w:name="_Toc142311061"/>
      <w:r/>
      <w:bookmarkStart w:id="740" w:name="_Toc226965834"/>
      <w:r/>
      <w:bookmarkStart w:id="741" w:name="_Toc150480797"/>
      <w:r/>
      <w:bookmarkStart w:id="742" w:name="_Toc195842926"/>
      <w:r/>
      <w:bookmarkStart w:id="743" w:name="_Toc226337257"/>
      <w:r/>
      <w:bookmarkStart w:id="744" w:name="_Toc264969251"/>
      <w:r>
        <w:rPr>
          <w:rFonts w:hint="eastAsia" w:ascii="宋体" w:hAnsi="宋体" w:cs="宋体"/>
          <w:bCs/>
          <w:color w:val="auto"/>
          <w:sz w:val="24"/>
          <w:highlight w:val="none"/>
        </w:rPr>
        <w:t xml:space="preserve">分项报价表</w:t>
      </w:r>
      <w:r/>
    </w:p>
    <w:p>
      <w:pPr>
        <w:spacing w:line="360" w:lineRule="auto"/>
        <w:rPr>
          <w:color w:val="auto"/>
          <w:sz w:val="24"/>
          <w:szCs w:val="20"/>
          <w:highlight w:val="none"/>
        </w:rPr>
      </w:pPr>
      <w:r/>
      <w:bookmarkStart w:id="745" w:name="_Toc23177"/>
      <w:r/>
      <w:bookmarkStart w:id="746" w:name="_Toc29062"/>
      <w:r/>
      <w:bookmarkStart w:id="747" w:name="_Toc25130"/>
      <w:r/>
      <w:bookmarkStart w:id="748" w:name="_Toc22479"/>
      <w:r/>
      <w:bookmarkEnd w:id="745"/>
      <w:bookmarkEnd w:id="746"/>
      <w:bookmarkEnd w:id="747"/>
      <w:bookmarkEnd w:id="748"/>
      <w:r/>
    </w:p>
    <w:p>
      <w:pPr>
        <w:jc w:val="center"/>
        <w:rPr>
          <w:b/>
          <w:color w:val="auto"/>
          <w:sz w:val="36"/>
          <w:szCs w:val="36"/>
          <w:highlight w:val="none"/>
        </w:rPr>
      </w:pPr>
      <w:r>
        <w:rPr>
          <w:rFonts w:hint="eastAsia"/>
          <w:b/>
          <w:color w:val="auto"/>
          <w:sz w:val="36"/>
          <w:szCs w:val="36"/>
          <w:highlight w:val="none"/>
        </w:rPr>
        <w:t xml:space="preserve">分项报价表</w:t>
      </w:r>
      <w:r/>
    </w:p>
    <w:p>
      <w:pPr>
        <w:jc w:val="left"/>
        <w:rPr>
          <w:rFonts w:ascii="宋体" w:hAnsi="宋体"/>
          <w:color w:val="auto"/>
          <w:sz w:val="24"/>
          <w:highlight w:val="none"/>
        </w:rPr>
      </w:pPr>
      <w:r>
        <w:rPr>
          <w:rFonts w:ascii="宋体" w:hAnsi="宋体"/>
          <w:color w:val="auto"/>
          <w:sz w:val="24"/>
          <w:highlight w:val="none"/>
        </w:rPr>
      </w:r>
      <w:r/>
    </w:p>
    <w:tbl>
      <w:tblPr>
        <w:tblStyle w:val="983"/>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292"/>
        <w:gridCol w:w="2706"/>
        <w:gridCol w:w="803"/>
        <w:gridCol w:w="907"/>
        <w:gridCol w:w="971"/>
        <w:gridCol w:w="937"/>
      </w:tblGrid>
      <w:tr>
        <w:trPr>
          <w:cantSplit/>
          <w:jc w:val="center"/>
          <w:trHeight w:val="296"/>
        </w:trPr>
        <w:tc>
          <w:tcPr>
            <w:tcW w:w="75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92"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  目 名称</w:t>
            </w:r>
            <w:r/>
          </w:p>
        </w:tc>
        <w:tc>
          <w:tcPr>
            <w:tcW w:w="2706"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服 务 内 容</w:t>
            </w:r>
            <w:r/>
          </w:p>
        </w:tc>
        <w:tc>
          <w:tcPr>
            <w:tcW w:w="803"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907"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gridSpan w:val="2"/>
            <w:tcW w:w="190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人民币价格</w:t>
            </w:r>
            <w:r/>
          </w:p>
        </w:tc>
      </w:tr>
      <w:tr>
        <w:trPr>
          <w:cantSplit/>
          <w:jc w:val="center"/>
          <w:trHeight w:val="56"/>
        </w:trPr>
        <w:tc>
          <w:tcPr>
            <w:tcW w:w="759"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93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合价</w:t>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0"/>
        </w:trPr>
        <w:tc>
          <w:tcPr>
            <w:gridSpan w:val="5"/>
            <w:tcW w:w="746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  计</w:t>
            </w:r>
            <w:r/>
          </w:p>
        </w:tc>
        <w:tc>
          <w:tcPr>
            <w:gridSpan w:val="2"/>
            <w:tcW w:w="1908"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ind w:firstLine="240"/>
        <w:jc w:val="left"/>
        <w:rPr>
          <w:rFonts w:ascii="宋体" w:hAnsi="宋体"/>
          <w:color w:val="auto"/>
          <w:sz w:val="24"/>
          <w:highlight w:val="none"/>
        </w:rPr>
      </w:pPr>
      <w:r>
        <w:rPr>
          <w:rFonts w:ascii="宋体" w:hAnsi="宋体"/>
          <w:color w:val="auto"/>
          <w:sz w:val="24"/>
          <w:highlight w:val="none"/>
        </w:rPr>
      </w:r>
      <w:r/>
    </w:p>
    <w:p>
      <w:pPr>
        <w:ind w:firstLine="240"/>
        <w:jc w:val="left"/>
        <w:rPr>
          <w:rFonts w:ascii="宋体" w:hAnsi="宋体"/>
          <w:color w:val="auto"/>
          <w:sz w:val="24"/>
          <w:highlight w:val="none"/>
        </w:rPr>
      </w:pPr>
      <w:r>
        <w:rPr>
          <w:rFonts w:hint="eastAsia" w:ascii="宋体" w:hAnsi="宋体"/>
          <w:color w:val="auto"/>
          <w:sz w:val="24"/>
          <w:highlight w:val="none"/>
        </w:rPr>
        <w:t xml:space="preserve">此表仅供参考。</w:t>
      </w:r>
      <w:r/>
    </w:p>
    <w:p>
      <w:pPr>
        <w:ind w:firstLine="3360"/>
        <w:jc w:val="left"/>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供应商名称（公章）：</w:t>
      </w:r>
      <w:r/>
    </w:p>
    <w:p>
      <w:pPr>
        <w:ind w:firstLine="283"/>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widowControl/>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10</w:t>
      </w:r>
      <w:r>
        <w:rPr>
          <w:color w:val="auto"/>
          <w:sz w:val="24"/>
          <w:szCs w:val="20"/>
          <w:highlight w:val="none"/>
        </w:rPr>
        <w:t xml:space="preserve">  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983"/>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rPr>
        <w:t xml:space="preserve">1</w:t>
      </w:r>
      <w:r>
        <w:rPr>
          <w:color w:val="auto"/>
          <w:sz w:val="24"/>
          <w:szCs w:val="20"/>
          <w:highlight w:val="none"/>
        </w:rPr>
        <w:t xml:space="preserve">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98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12</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229"/>
          <w:color w:val="auto"/>
          <w:sz w:val="24"/>
          <w:highlight w:val="none"/>
        </w:rPr>
        <w:t xml:space="preserve">http://202.106.120.146/baosong/appweb/orgScale.html</w:t>
      </w:r>
      <w:r>
        <w:rPr>
          <w:rStyle w:val="1229"/>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szCs w:val="20"/>
          <w:highlight w:val="none"/>
        </w:rPr>
      </w:pPr>
      <w:r>
        <w:rPr>
          <w:b/>
          <w:bCs/>
          <w:color w:val="auto"/>
          <w:sz w:val="24"/>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83"/>
        <w:tblW w:w="8946" w:type="dxa"/>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jc w:val="center"/>
        <w:spacing w:before="240" w:after="240" w:line="360" w:lineRule="auto"/>
        <w:rPr>
          <w:color w:val="auto"/>
          <w:sz w:val="36"/>
          <w:szCs w:val="36"/>
          <w:highlight w:val="none"/>
        </w:rPr>
      </w:pPr>
      <w:r>
        <w:rPr>
          <w:color w:val="auto"/>
          <w:sz w:val="24"/>
          <w:szCs w:val="20"/>
          <w:highlight w:val="none"/>
        </w:rPr>
        <w:br w:type="page" w:clear="all"/>
      </w:r>
      <w:r>
        <w:rPr>
          <w:b/>
          <w:bCs/>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13 项目实施方案等，包括但不限于如下主题：</w:t>
      </w:r>
      <w:r/>
    </w:p>
    <w:p>
      <w:pPr>
        <w:ind w:firstLine="480"/>
        <w:spacing w:line="560" w:lineRule="exact"/>
        <w:rPr>
          <w:color w:val="auto"/>
          <w:sz w:val="24"/>
          <w:szCs w:val="20"/>
          <w:highlight w:val="none"/>
        </w:rPr>
      </w:pPr>
      <w:r>
        <w:rPr>
          <w:rFonts w:hint="eastAsia"/>
          <w:color w:val="auto"/>
          <w:sz w:val="24"/>
          <w:szCs w:val="20"/>
          <w:highlight w:val="none"/>
        </w:rPr>
        <w:t xml:space="preserve">1）项目组织实施方案；</w:t>
      </w:r>
      <w:r/>
    </w:p>
    <w:p>
      <w:pPr>
        <w:ind w:firstLine="480"/>
        <w:spacing w:line="560" w:lineRule="exact"/>
        <w:rPr>
          <w:color w:val="auto"/>
          <w:sz w:val="24"/>
          <w:szCs w:val="20"/>
          <w:highlight w:val="none"/>
        </w:rPr>
      </w:pPr>
      <w:r>
        <w:rPr>
          <w:rFonts w:hint="eastAsia"/>
          <w:color w:val="auto"/>
          <w:sz w:val="24"/>
          <w:szCs w:val="20"/>
          <w:highlight w:val="none"/>
        </w:rPr>
        <w:t xml:space="preserve">2）项目管理方案；</w:t>
      </w:r>
      <w:r/>
    </w:p>
    <w:p>
      <w:pPr>
        <w:ind w:firstLine="480"/>
        <w:spacing w:line="560" w:lineRule="exact"/>
        <w:rPr>
          <w:color w:val="auto"/>
          <w:sz w:val="24"/>
          <w:szCs w:val="20"/>
          <w:highlight w:val="none"/>
        </w:rPr>
      </w:pPr>
      <w:r>
        <w:rPr>
          <w:rFonts w:hint="eastAsia"/>
          <w:color w:val="auto"/>
          <w:sz w:val="24"/>
          <w:szCs w:val="20"/>
          <w:highlight w:val="none"/>
        </w:rPr>
        <w:t xml:space="preserve">3）拟达到的标准，配备的人员、设备配置等；</w:t>
      </w:r>
      <w:r/>
    </w:p>
    <w:p>
      <w:pPr>
        <w:ind w:firstLine="480"/>
        <w:spacing w:line="560" w:lineRule="exact"/>
        <w:rPr>
          <w:color w:val="auto"/>
          <w:sz w:val="24"/>
          <w:szCs w:val="20"/>
          <w:highlight w:val="none"/>
        </w:rPr>
      </w:pPr>
      <w:r>
        <w:rPr>
          <w:rFonts w:hint="eastAsia"/>
          <w:color w:val="auto"/>
          <w:sz w:val="24"/>
          <w:szCs w:val="20"/>
          <w:highlight w:val="none"/>
        </w:rPr>
        <w:t xml:space="preserve">4）培训方案、技术支持等方案；</w:t>
      </w:r>
      <w:r/>
    </w:p>
    <w:p>
      <w:pPr>
        <w:ind w:firstLine="480"/>
        <w:spacing w:line="560" w:lineRule="exact"/>
        <w:rPr>
          <w:color w:val="auto"/>
          <w:sz w:val="24"/>
          <w:szCs w:val="20"/>
          <w:highlight w:val="none"/>
        </w:rPr>
      </w:pPr>
      <w:r>
        <w:rPr>
          <w:rFonts w:hint="eastAsia"/>
          <w:color w:val="auto"/>
          <w:sz w:val="24"/>
          <w:szCs w:val="20"/>
          <w:highlight w:val="none"/>
        </w:rPr>
        <w:t xml:space="preserve">5）优惠条款或承诺；</w:t>
      </w:r>
      <w:r/>
    </w:p>
    <w:p>
      <w:pPr>
        <w:ind w:firstLine="480"/>
        <w:spacing w:line="560" w:lineRule="exact"/>
        <w:rPr>
          <w:color w:val="auto"/>
          <w:sz w:val="24"/>
          <w:szCs w:val="20"/>
          <w:highlight w:val="none"/>
        </w:rPr>
      </w:pPr>
      <w:r>
        <w:rPr>
          <w:rFonts w:hint="eastAsia"/>
          <w:color w:val="auto"/>
          <w:sz w:val="24"/>
          <w:szCs w:val="20"/>
          <w:highlight w:val="none"/>
        </w:rPr>
        <w:t xml:space="preserve">6）其他。</w:t>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14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983"/>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rPr>
          <w:color w:val="auto"/>
          <w:sz w:val="24"/>
          <w:szCs w:val="20"/>
          <w:highlight w:val="none"/>
        </w:rPr>
      </w:pPr>
      <w:r>
        <w:rPr>
          <w:color w:val="auto"/>
          <w:sz w:val="22"/>
          <w:highlight w:val="none"/>
        </w:rPr>
        <w:br w:type="page" w:clear="all"/>
      </w:r>
      <w:bookmarkStart w:id="749" w:name="_Toc288738397"/>
      <w:r/>
      <w:bookmarkStart w:id="750" w:name="_Toc288738839"/>
      <w:r>
        <w:rPr>
          <w:rFonts w:hint="eastAsia"/>
          <w:color w:val="auto"/>
          <w:sz w:val="24"/>
          <w:szCs w:val="20"/>
          <w:highlight w:val="none"/>
        </w:rPr>
        <w:t xml:space="preserve">15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49"/>
      <w:r/>
      <w:bookmarkEnd w:id="750"/>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98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rPr>
        <w:t xml:space="preserve">6</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highlight w:val="none"/>
          <w:lang w:val="zh-CN"/>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headerReference w:type="even" r:id="rId13"/>
      <w:headerReference w:type="first" r:id="rId14"/>
      <w:footerReference w:type="even" r:id="rId24"/>
      <w:footerReference w:type="first" r:id="rId25"/>
      <w:footnotePr/>
      <w:endnotePr/>
      <w:type w:val="nextPage"/>
      <w:pgSz w:w="11907" w:h="16838" w:orient="portrait"/>
      <w:pgMar w:top="1417" w:right="1134" w:bottom="1417" w:left="1361"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egoe UI Symbol">
    <w:panose1 w:val="020B0502040204020203"/>
  </w:font>
  <w:font w:name="CESI黑体-GB2312">
    <w:panose1 w:val="020B0503020202020204"/>
  </w:font>
  <w:font w:name="Wingdings">
    <w:panose1 w:val="05000000000000000000"/>
  </w:font>
  <w:font w:name="MS Mincho">
    <w:panose1 w:val="02020603050405090304"/>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rPr>
        <w:rStyle w:val="1226"/>
      </w:rPr>
      <w:framePr w:wrap="around" w:vAnchor="text" w:hAnchor="margin" w:xAlign="center" w:y="1"/>
    </w:pPr>
    <w:r>
      <w:fldChar w:fldCharType="begin"/>
    </w:r>
    <w:r>
      <w:rPr>
        <w:rStyle w:val="1226"/>
      </w:rPr>
      <w:instrText xml:space="preserve">PAGE  </w:instrText>
    </w:r>
    <w:r>
      <w:fldChar w:fldCharType="end"/>
    </w:r>
    <w:r/>
  </w:p>
  <w:p>
    <w:pPr>
      <w:pStyle w:val="12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7"/>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7"/>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7"/>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rPr>
        <w:rStyle w:val="1226"/>
      </w:rPr>
      <w:framePr w:wrap="around" w:vAnchor="text" w:hAnchor="margin" w:xAlign="right" w:y="1"/>
    </w:pPr>
    <w:r>
      <w:rPr>
        <w:rStyle w:val="1226"/>
      </w:rPr>
      <w:fldChar w:fldCharType="begin"/>
    </w:r>
    <w:r>
      <w:rPr>
        <w:rStyle w:val="1226"/>
      </w:rPr>
      <w:instrText xml:space="preserve">PAGE  </w:instrText>
    </w:r>
    <w:r>
      <w:rPr>
        <w:rStyle w:val="1226"/>
      </w:rPr>
      <w:fldChar w:fldCharType="end"/>
    </w:r>
    <w:r/>
  </w:p>
  <w:p>
    <w:pPr>
      <w:pStyle w:val="1206"/>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1"/>
      <w:spacing w:line="174"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7"/>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rPr>
        <w:rStyle w:val="1226"/>
      </w:rPr>
      <w:framePr w:wrap="around" w:vAnchor="text" w:hAnchor="margin" w:xAlign="right" w:y="1"/>
    </w:pPr>
    <w:r>
      <w:rPr>
        <w:rStyle w:val="1226"/>
      </w:rPr>
      <w:fldChar w:fldCharType="begin"/>
    </w:r>
    <w:r>
      <w:rPr>
        <w:rStyle w:val="1226"/>
      </w:rPr>
      <w:instrText xml:space="preserve">PAGE  </w:instrText>
    </w:r>
    <w:r>
      <w:rPr>
        <w:rStyle w:val="1226"/>
      </w:rPr>
      <w:fldChar w:fldCharType="end"/>
    </w:r>
    <w:r/>
  </w:p>
  <w:p>
    <w:pPr>
      <w:pStyle w:val="1206"/>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right"/>
      <w:pBdr>
        <w:bottom w:val="single" w:color="000000" w:sz="4" w:space="1"/>
      </w:pBdr>
    </w:pPr>
    <w:r>
      <w:rPr>
        <w:rFonts w:hint="eastAsia"/>
      </w:rPr>
      <w:t xml:space="preserve">常州市政府采购项目竞争性磋商文件</w:t>
    </w:r>
    <w:r/>
  </w:p>
  <w:p>
    <w:pPr>
      <w:pStyle w:val="120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right"/>
      <w:pBdr>
        <w:bottom w:val="single" w:color="000000" w:sz="4" w:space="1"/>
      </w:pBdr>
    </w:pP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right"/>
      <w:pBdr>
        <w:bottom w:val="single" w:color="000000" w:sz="4" w:space="1"/>
      </w:pBdr>
    </w:pPr>
    <w:r>
      <w:rPr>
        <w:rFonts w:hint="eastAsia"/>
      </w:rPr>
      <w:t xml:space="preserve">常州市政府采购项目竞争性磋商文件</w:t>
    </w:r>
    <w:r/>
  </w:p>
  <w:p>
    <w:pPr>
      <w:pStyle w:val="1209"/>
      <w:jc w:val="right"/>
      <w:rPr>
        <w:rFonts w:ascii="宋体" w:hAnsi="宋体"/>
      </w:rPr>
    </w:pPr>
    <w:r>
      <w:rPr>
        <w:rFonts w:ascii="宋体" w:hAnsi="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right"/>
      <w:pBdr>
        <w:bottom w:val="single" w:color="000000" w:sz="4" w:space="1"/>
      </w:pBdr>
    </w:pPr>
    <w:r>
      <w:rPr>
        <w:rFonts w:hint="eastAsia"/>
      </w:rPr>
      <w:t xml:space="preserve">常州市政府采购项目竞争性磋商文件</w:t>
    </w:r>
    <w:r/>
  </w:p>
  <w:p>
    <w:pPr>
      <w:pStyle w:val="12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0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26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5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9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9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02"/>
      <w:isLgl w:val="false"/>
      <w:suff w:val="nothing"/>
      <w:lvlText w:val="%1.%2.%3.%4.%5.%6　"/>
      <w:lvlJc w:val="left"/>
      <w:pPr>
        <w:ind w:left="-25" w:firstLine="0"/>
      </w:pPr>
      <w:rPr>
        <w:rFonts w:ascii="Times New Roman" w:hAnsi="Times New Roman" w:eastAsia="宋体"/>
        <w:b/>
        <w:i w:val="0"/>
        <w:sz w:val="28"/>
      </w:rPr>
    </w:lvl>
    <w:lvl w:ilvl="6">
      <w:start w:val="1"/>
      <w:numFmt w:val="lowerLetter"/>
      <w:pStyle w:val="131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7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33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362"/>
      <w:isLgl w:val="false"/>
      <w:suff w:val="tab"/>
      <w:lvlText w:val="%1"/>
      <w:lvlJc w:val="left"/>
      <w:pPr>
        <w:ind w:left="680" w:hanging="680"/>
      </w:pPr>
      <w:rPr>
        <w:rFonts w:hint="eastAsia" w:ascii="宋体" w:hAnsi="宋体" w:eastAsia="宋体"/>
      </w:rPr>
    </w:lvl>
    <w:lvl w:ilvl="1">
      <w:start w:val="1"/>
      <w:numFmt w:val="decimal"/>
      <w:pStyle w:val="1363"/>
      <w:isLgl w:val="false"/>
      <w:suff w:val="tab"/>
      <w:lvlText w:val="%1.%2"/>
      <w:lvlJc w:val="left"/>
      <w:pPr>
        <w:ind w:left="851" w:hanging="851"/>
      </w:pPr>
      <w:rPr>
        <w:rFonts w:hint="eastAsia" w:ascii="宋体" w:hAnsi="宋体" w:eastAsia="宋体"/>
        <w:color w:val="000000"/>
      </w:rPr>
    </w:lvl>
    <w:lvl w:ilvl="2">
      <w:start w:val="1"/>
      <w:numFmt w:val="decimal"/>
      <w:pStyle w:val="136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3"/>
      <w:isLgl w:val="false"/>
      <w:suff w:val="nothing"/>
      <w:lvlText w:val="图%1　"/>
      <w:lvlJc w:val="left"/>
      <w:pPr/>
      <w:rPr>
        <w:rFonts w:hint="eastAsia" w:ascii="黑体" w:hAnsi="Times New Roman" w:eastAsia="黑体" w:cs="Times New Roman"/>
        <w:b w:val="0"/>
        <w:i w:val="0"/>
        <w:sz w:val="21"/>
      </w:rPr>
    </w:lvl>
    <w:lvl w:ilvl="1">
      <w:start w:val="1"/>
      <w:numFmt w:val="decimal"/>
      <w:isLgl w:val="false"/>
      <w:suff w:val="nothing"/>
      <w:lvlText w:val="%1%2　"/>
      <w:lvlJc w:val="left"/>
      <w:pPr/>
      <w:rPr>
        <w:rFonts w:hint="default" w:ascii="Times New Roman" w:hAnsi="Times New Roman" w:eastAsia="黑体" w:cs="Times New Roman"/>
        <w:b w:val="0"/>
        <w:i w:val="0"/>
        <w:sz w:val="21"/>
      </w:rPr>
    </w:lvl>
    <w:lvl w:ilvl="2">
      <w:start w:val="1"/>
      <w:numFmt w:val="decimal"/>
      <w:isLgl w:val="false"/>
      <w:suff w:val="nothing"/>
      <w:lvlText w:val="%1%2.%3　"/>
      <w:lvlJc w:val="left"/>
      <w:pPr/>
      <w:rPr>
        <w:rFonts w:hint="default" w:ascii="Times New Roman" w:hAnsi="Times New Roman" w:eastAsia="黑体" w:cs="Times New Roman"/>
        <w:b w:val="0"/>
        <w:i w:val="0"/>
        <w:sz w:val="21"/>
      </w:rPr>
    </w:lvl>
    <w:lvl w:ilvl="3">
      <w:start w:val="1"/>
      <w:numFmt w:val="decimal"/>
      <w:isLgl w:val="false"/>
      <w:suff w:val="nothing"/>
      <w:lvlText w:val="%1%2.%3.%4　"/>
      <w:lvlJc w:val="left"/>
      <w:pPr/>
      <w:rPr>
        <w:rFonts w:hint="default" w:ascii="Times New Roman" w:hAnsi="Times New Roman" w:eastAsia="黑体" w:cs="Times New Roman"/>
        <w:b w:val="0"/>
        <w:i w:val="0"/>
        <w:sz w:val="21"/>
      </w:rPr>
    </w:lvl>
    <w:lvl w:ilvl="4">
      <w:start w:val="1"/>
      <w:numFmt w:val="decimal"/>
      <w:isLgl w:val="false"/>
      <w:suff w:val="nothing"/>
      <w:lvlText w:val="%1%2.%3.%4.%5　"/>
      <w:lvlJc w:val="left"/>
      <w:pPr/>
      <w:rPr>
        <w:rFonts w:hint="default" w:ascii="Times New Roman" w:hAnsi="Times New Roman" w:eastAsia="黑体" w:cs="Times New Roman"/>
        <w:b w:val="0"/>
        <w:i w:val="0"/>
        <w:sz w:val="21"/>
      </w:rPr>
    </w:lvl>
    <w:lvl w:ilvl="5">
      <w:start w:val="1"/>
      <w:numFmt w:val="decimal"/>
      <w:isLgl w:val="false"/>
      <w:suff w:val="nothing"/>
      <w:lvlText w:val="%1%2.%3.%4.%5.%6　"/>
      <w:lvlJc w:val="left"/>
      <w:pPr/>
      <w:rPr>
        <w:rFonts w:hint="default" w:ascii="Times New Roman" w:hAnsi="Times New Roman" w:eastAsia="黑体" w:cs="Times New Roman"/>
        <w:b w:val="0"/>
        <w:i w:val="0"/>
        <w:sz w:val="21"/>
      </w:rPr>
    </w:lvl>
    <w:lvl w:ilvl="6">
      <w:start w:val="1"/>
      <w:numFmt w:val="decimal"/>
      <w:isLgl w:val="false"/>
      <w:suff w:val="nothing"/>
      <w:lvlText w:val="%1%2.%3.%4.%5.%6.%7　"/>
      <w:lvlJc w:val="left"/>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rPr>
        <w:rFonts w:hint="eastAsia" w:cs="Times New Roman"/>
      </w:rPr>
    </w:lvl>
    <w:lvl w:ilvl="8">
      <w:start w:val="1"/>
      <w:numFmt w:val="decimal"/>
      <w:isLgl w:val="false"/>
      <w:suff w:val="tab"/>
      <w:lvlText w:val="%1.%2.%3.%4.%5.%6.%7.%8.%9"/>
      <w:lvlJc w:val="left"/>
      <w:pPr>
        <w:ind w:left="4677" w:hanging="1700"/>
        <w:tabs>
          <w:tab w:val="left" w:pos="4777" w:leader="none"/>
        </w:tabs>
      </w:pPr>
      <w:rPr>
        <w:rFonts w:hint="eastAsia" w:cs="Times New Roman"/>
      </w:rPr>
    </w:lvl>
  </w:abstractNum>
  <w:abstractNum w:abstractNumId="9">
    <w:multiLevelType w:val="hybridMultilevel"/>
    <w:lvl w:ilvl="0">
      <w:start w:val="1"/>
      <w:numFmt w:val="decimal"/>
      <w:pStyle w:val="126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4"/>
  </w:num>
  <w:num w:numId="3">
    <w:abstractNumId w:val="3"/>
  </w:num>
  <w:num w:numId="4">
    <w:abstractNumId w:val="9"/>
  </w:num>
  <w:num w:numId="5">
    <w:abstractNumId w:val="2"/>
  </w:num>
  <w:num w:numId="6">
    <w:abstractNumId w:val="1"/>
  </w:num>
  <w:num w:numId="7">
    <w:abstractNumId w:val="5"/>
  </w:num>
  <w:num w:numId="8">
    <w:abstractNumId w:val="6"/>
  </w:num>
  <w:num w:numId="9">
    <w:abstractNumId w:val="10"/>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82"/>
    <w:link w:val="973"/>
    <w:uiPriority w:val="9"/>
    <w:rPr>
      <w:rFonts w:ascii="Arial" w:hAnsi="Arial" w:eastAsia="Arial" w:cs="Arial"/>
      <w:sz w:val="40"/>
      <w:szCs w:val="40"/>
    </w:rPr>
  </w:style>
  <w:style w:type="character" w:styleId="15">
    <w:name w:val="Heading 2 Char"/>
    <w:basedOn w:val="982"/>
    <w:link w:val="974"/>
    <w:uiPriority w:val="9"/>
    <w:rPr>
      <w:rFonts w:ascii="Arial" w:hAnsi="Arial" w:eastAsia="Arial" w:cs="Arial"/>
      <w:sz w:val="34"/>
    </w:rPr>
  </w:style>
  <w:style w:type="character" w:styleId="17">
    <w:name w:val="Heading 3 Char"/>
    <w:basedOn w:val="982"/>
    <w:link w:val="975"/>
    <w:uiPriority w:val="9"/>
    <w:rPr>
      <w:rFonts w:ascii="Arial" w:hAnsi="Arial" w:eastAsia="Arial" w:cs="Arial"/>
      <w:sz w:val="30"/>
      <w:szCs w:val="30"/>
    </w:rPr>
  </w:style>
  <w:style w:type="character" w:styleId="19">
    <w:name w:val="Heading 4 Char"/>
    <w:basedOn w:val="982"/>
    <w:link w:val="976"/>
    <w:uiPriority w:val="9"/>
    <w:rPr>
      <w:rFonts w:ascii="Arial" w:hAnsi="Arial" w:eastAsia="Arial" w:cs="Arial"/>
      <w:b/>
      <w:bCs/>
      <w:sz w:val="26"/>
      <w:szCs w:val="26"/>
    </w:rPr>
  </w:style>
  <w:style w:type="character" w:styleId="21">
    <w:name w:val="Heading 5 Char"/>
    <w:basedOn w:val="982"/>
    <w:link w:val="977"/>
    <w:uiPriority w:val="9"/>
    <w:rPr>
      <w:rFonts w:ascii="Arial" w:hAnsi="Arial" w:eastAsia="Arial" w:cs="Arial"/>
      <w:b/>
      <w:bCs/>
      <w:sz w:val="24"/>
      <w:szCs w:val="24"/>
    </w:rPr>
  </w:style>
  <w:style w:type="character" w:styleId="23">
    <w:name w:val="Heading 6 Char"/>
    <w:basedOn w:val="982"/>
    <w:link w:val="978"/>
    <w:uiPriority w:val="9"/>
    <w:rPr>
      <w:rFonts w:ascii="Arial" w:hAnsi="Arial" w:eastAsia="Arial" w:cs="Arial"/>
      <w:b/>
      <w:bCs/>
      <w:sz w:val="22"/>
      <w:szCs w:val="22"/>
    </w:rPr>
  </w:style>
  <w:style w:type="character" w:styleId="25">
    <w:name w:val="Heading 7 Char"/>
    <w:basedOn w:val="982"/>
    <w:link w:val="979"/>
    <w:uiPriority w:val="9"/>
    <w:rPr>
      <w:rFonts w:ascii="Arial" w:hAnsi="Arial" w:eastAsia="Arial" w:cs="Arial"/>
      <w:b/>
      <w:bCs/>
      <w:i/>
      <w:iCs/>
      <w:sz w:val="22"/>
      <w:szCs w:val="22"/>
    </w:rPr>
  </w:style>
  <w:style w:type="character" w:styleId="27">
    <w:name w:val="Heading 8 Char"/>
    <w:basedOn w:val="982"/>
    <w:link w:val="980"/>
    <w:uiPriority w:val="9"/>
    <w:rPr>
      <w:rFonts w:ascii="Arial" w:hAnsi="Arial" w:eastAsia="Arial" w:cs="Arial"/>
      <w:i/>
      <w:iCs/>
      <w:sz w:val="22"/>
      <w:szCs w:val="22"/>
    </w:rPr>
  </w:style>
  <w:style w:type="character" w:styleId="29">
    <w:name w:val="Heading 9 Char"/>
    <w:basedOn w:val="982"/>
    <w:link w:val="981"/>
    <w:uiPriority w:val="9"/>
    <w:rPr>
      <w:rFonts w:ascii="Arial" w:hAnsi="Arial" w:eastAsia="Arial" w:cs="Arial"/>
      <w:i/>
      <w:iCs/>
      <w:sz w:val="21"/>
      <w:szCs w:val="21"/>
    </w:rPr>
  </w:style>
  <w:style w:type="character" w:styleId="34">
    <w:name w:val="Title Char"/>
    <w:basedOn w:val="982"/>
    <w:link w:val="1007"/>
    <w:uiPriority w:val="10"/>
    <w:rPr>
      <w:sz w:val="48"/>
      <w:szCs w:val="48"/>
    </w:rPr>
  </w:style>
  <w:style w:type="character" w:styleId="36">
    <w:name w:val="Subtitle Char"/>
    <w:basedOn w:val="982"/>
    <w:link w:val="1001"/>
    <w:uiPriority w:val="11"/>
    <w:rPr>
      <w:sz w:val="24"/>
      <w:szCs w:val="24"/>
    </w:rPr>
  </w:style>
  <w:style w:type="character" w:styleId="38">
    <w:name w:val="Quote Char"/>
    <w:link w:val="1028"/>
    <w:uiPriority w:val="29"/>
    <w:rPr>
      <w:i/>
    </w:rPr>
  </w:style>
  <w:style w:type="character" w:styleId="40">
    <w:name w:val="Intense Quote Char"/>
    <w:link w:val="1030"/>
    <w:uiPriority w:val="30"/>
    <w:rPr>
      <w:i/>
    </w:rPr>
  </w:style>
  <w:style w:type="character" w:styleId="42">
    <w:name w:val="Header Char"/>
    <w:basedOn w:val="982"/>
    <w:link w:val="998"/>
    <w:uiPriority w:val="99"/>
  </w:style>
  <w:style w:type="character" w:styleId="46">
    <w:name w:val="Caption Char"/>
    <w:basedOn w:val="986"/>
    <w:link w:val="997"/>
    <w:uiPriority w:val="99"/>
  </w:style>
  <w:style w:type="table" w:styleId="49">
    <w:name w:val="Plain Table 1"/>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002"/>
    <w:uiPriority w:val="99"/>
    <w:rPr>
      <w:sz w:val="18"/>
    </w:rPr>
  </w:style>
  <w:style w:type="character" w:styleId="178">
    <w:name w:val="Endnote Text Char"/>
    <w:link w:val="995"/>
    <w:uiPriority w:val="99"/>
    <w:rPr>
      <w:sz w:val="20"/>
    </w:rPr>
  </w:style>
  <w:style w:type="paragraph" w:styleId="189">
    <w:name w:val="TOC Heading"/>
    <w:uiPriority w:val="39"/>
    <w:unhideWhenUsed/>
  </w:style>
  <w:style w:type="paragraph" w:styleId="9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3">
    <w:name w:val="Heading 1"/>
    <w:basedOn w:val="972"/>
    <w:next w:val="972"/>
    <w:link w:val="1015"/>
    <w:uiPriority w:val="9"/>
    <w:qFormat/>
    <w:pPr>
      <w:keepLines/>
      <w:keepNext/>
      <w:spacing w:before="480" w:after="200"/>
      <w:outlineLvl w:val="0"/>
    </w:pPr>
    <w:rPr>
      <w:rFonts w:ascii="Arial" w:hAnsi="Arial" w:eastAsia="Arial" w:cs="Arial"/>
      <w:sz w:val="40"/>
      <w:szCs w:val="40"/>
    </w:rPr>
  </w:style>
  <w:style w:type="paragraph" w:styleId="974">
    <w:name w:val="Heading 2"/>
    <w:basedOn w:val="972"/>
    <w:next w:val="972"/>
    <w:link w:val="1016"/>
    <w:uiPriority w:val="9"/>
    <w:unhideWhenUsed/>
    <w:qFormat/>
    <w:pPr>
      <w:keepLines/>
      <w:keepNext/>
      <w:spacing w:before="360" w:after="200"/>
      <w:outlineLvl w:val="1"/>
    </w:pPr>
    <w:rPr>
      <w:rFonts w:ascii="Arial" w:hAnsi="Arial" w:eastAsia="Arial" w:cs="Arial"/>
      <w:sz w:val="34"/>
    </w:rPr>
  </w:style>
  <w:style w:type="paragraph" w:styleId="975">
    <w:name w:val="Heading 3"/>
    <w:basedOn w:val="972"/>
    <w:next w:val="972"/>
    <w:link w:val="1017"/>
    <w:uiPriority w:val="9"/>
    <w:unhideWhenUsed/>
    <w:qFormat/>
    <w:pPr>
      <w:keepLines/>
      <w:keepNext/>
      <w:spacing w:before="320" w:after="200"/>
      <w:outlineLvl w:val="2"/>
    </w:pPr>
    <w:rPr>
      <w:rFonts w:ascii="Arial" w:hAnsi="Arial" w:eastAsia="Arial" w:cs="Arial"/>
      <w:sz w:val="30"/>
      <w:szCs w:val="30"/>
    </w:rPr>
  </w:style>
  <w:style w:type="paragraph" w:styleId="976">
    <w:name w:val="Heading 4"/>
    <w:basedOn w:val="972"/>
    <w:next w:val="972"/>
    <w:link w:val="1018"/>
    <w:uiPriority w:val="9"/>
    <w:unhideWhenUsed/>
    <w:qFormat/>
    <w:pPr>
      <w:keepLines/>
      <w:keepNext/>
      <w:spacing w:before="320" w:after="200"/>
      <w:outlineLvl w:val="3"/>
    </w:pPr>
    <w:rPr>
      <w:rFonts w:ascii="Arial" w:hAnsi="Arial" w:eastAsia="Arial" w:cs="Arial"/>
      <w:b/>
      <w:bCs/>
      <w:sz w:val="26"/>
      <w:szCs w:val="26"/>
    </w:rPr>
  </w:style>
  <w:style w:type="paragraph" w:styleId="977">
    <w:name w:val="Heading 5"/>
    <w:basedOn w:val="972"/>
    <w:next w:val="972"/>
    <w:link w:val="1019"/>
    <w:uiPriority w:val="9"/>
    <w:unhideWhenUsed/>
    <w:qFormat/>
    <w:pPr>
      <w:keepLines/>
      <w:keepNext/>
      <w:spacing w:before="320" w:after="200"/>
      <w:outlineLvl w:val="4"/>
    </w:pPr>
    <w:rPr>
      <w:rFonts w:ascii="Arial" w:hAnsi="Arial" w:eastAsia="Arial" w:cs="Arial"/>
      <w:b/>
      <w:bCs/>
      <w:sz w:val="24"/>
    </w:rPr>
  </w:style>
  <w:style w:type="paragraph" w:styleId="978">
    <w:name w:val="Heading 6"/>
    <w:basedOn w:val="972"/>
    <w:next w:val="972"/>
    <w:link w:val="1020"/>
    <w:uiPriority w:val="9"/>
    <w:unhideWhenUsed/>
    <w:qFormat/>
    <w:pPr>
      <w:keepLines/>
      <w:keepNext/>
      <w:spacing w:before="320" w:after="200"/>
      <w:outlineLvl w:val="5"/>
    </w:pPr>
    <w:rPr>
      <w:rFonts w:ascii="Arial" w:hAnsi="Arial" w:eastAsia="Arial" w:cs="Arial"/>
      <w:b/>
      <w:bCs/>
      <w:sz w:val="22"/>
      <w:szCs w:val="22"/>
    </w:rPr>
  </w:style>
  <w:style w:type="paragraph" w:styleId="979">
    <w:name w:val="Heading 7"/>
    <w:basedOn w:val="972"/>
    <w:next w:val="972"/>
    <w:link w:val="1021"/>
    <w:uiPriority w:val="9"/>
    <w:unhideWhenUsed/>
    <w:qFormat/>
    <w:pPr>
      <w:keepLines/>
      <w:keepNext/>
      <w:spacing w:before="320" w:after="200"/>
      <w:outlineLvl w:val="6"/>
    </w:pPr>
    <w:rPr>
      <w:rFonts w:ascii="Arial" w:hAnsi="Arial" w:eastAsia="Arial" w:cs="Arial"/>
      <w:b/>
      <w:bCs/>
      <w:i/>
      <w:iCs/>
      <w:sz w:val="22"/>
      <w:szCs w:val="22"/>
    </w:rPr>
  </w:style>
  <w:style w:type="paragraph" w:styleId="980">
    <w:name w:val="Heading 8"/>
    <w:basedOn w:val="972"/>
    <w:next w:val="972"/>
    <w:link w:val="1022"/>
    <w:uiPriority w:val="9"/>
    <w:unhideWhenUsed/>
    <w:qFormat/>
    <w:pPr>
      <w:keepLines/>
      <w:keepNext/>
      <w:spacing w:before="320" w:after="200"/>
      <w:outlineLvl w:val="7"/>
    </w:pPr>
    <w:rPr>
      <w:rFonts w:ascii="Arial" w:hAnsi="Arial" w:eastAsia="Arial" w:cs="Arial"/>
      <w:i/>
      <w:iCs/>
      <w:sz w:val="22"/>
      <w:szCs w:val="22"/>
    </w:rPr>
  </w:style>
  <w:style w:type="paragraph" w:styleId="981">
    <w:name w:val="Heading 9"/>
    <w:basedOn w:val="972"/>
    <w:next w:val="972"/>
    <w:link w:val="1023"/>
    <w:uiPriority w:val="9"/>
    <w:unhideWhenUsed/>
    <w:qFormat/>
    <w:pPr>
      <w:keepLines/>
      <w:keepNext/>
      <w:spacing w:before="320" w:after="200"/>
      <w:outlineLvl w:val="8"/>
    </w:pPr>
    <w:rPr>
      <w:rFonts w:ascii="Arial" w:hAnsi="Arial" w:eastAsia="Arial" w:cs="Arial"/>
      <w:i/>
      <w:iCs/>
      <w:szCs w:val="21"/>
    </w:rPr>
  </w:style>
  <w:style w:type="character" w:styleId="982" w:default="1">
    <w:name w:val="Default Paragraph Font"/>
    <w:uiPriority w:val="1"/>
    <w:semiHidden/>
    <w:unhideWhenUsed/>
    <w:qFormat/>
  </w:style>
  <w:style w:type="table" w:styleId="983" w:default="1">
    <w:name w:val="Normal Table"/>
    <w:uiPriority w:val="99"/>
    <w:semiHidden/>
    <w:unhideWhenUsed/>
    <w:qFormat/>
    <w:tblPr>
      <w:tblCellMar>
        <w:left w:w="108" w:type="dxa"/>
        <w:top w:w="0" w:type="dxa"/>
        <w:right w:w="108" w:type="dxa"/>
        <w:bottom w:w="0" w:type="dxa"/>
      </w:tblCellMar>
    </w:tblPr>
  </w:style>
  <w:style w:type="paragraph" w:styleId="984">
    <w:name w:val="toc 7"/>
    <w:basedOn w:val="972"/>
    <w:next w:val="972"/>
    <w:uiPriority w:val="0"/>
    <w:qFormat/>
    <w:pPr>
      <w:ind w:left="2520"/>
    </w:pPr>
  </w:style>
  <w:style w:type="paragraph" w:styleId="985">
    <w:name w:val="Normal Indent"/>
    <w:basedOn w:val="972"/>
    <w:next w:val="972"/>
    <w:uiPriority w:val="0"/>
    <w:qFormat/>
    <w:pPr>
      <w:ind w:firstLine="420"/>
      <w:spacing w:line="360" w:lineRule="auto"/>
    </w:pPr>
    <w:rPr>
      <w:rFonts w:ascii="宋体" w:hAnsi="宋体"/>
      <w:color w:val="000000"/>
      <w:sz w:val="28"/>
      <w:szCs w:val="28"/>
    </w:rPr>
  </w:style>
  <w:style w:type="paragraph" w:styleId="986">
    <w:name w:val="Caption"/>
    <w:basedOn w:val="972"/>
    <w:next w:val="9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7">
    <w:name w:val="annotation text"/>
    <w:basedOn w:val="972"/>
    <w:uiPriority w:val="0"/>
    <w:unhideWhenUsed/>
    <w:qFormat/>
    <w:pPr>
      <w:jc w:val="left"/>
    </w:pPr>
  </w:style>
  <w:style w:type="paragraph" w:styleId="988">
    <w:name w:val="Body Text"/>
    <w:basedOn w:val="972"/>
    <w:uiPriority w:val="0"/>
    <w:semiHidden/>
    <w:qFormat/>
    <w:rPr>
      <w:rFonts w:ascii="Arial" w:hAnsi="Arial" w:eastAsia="Arial" w:cs="Arial"/>
      <w:szCs w:val="21"/>
      <w:lang w:eastAsia="en-US"/>
    </w:rPr>
  </w:style>
  <w:style w:type="paragraph" w:styleId="989">
    <w:name w:val="Body Text Indent"/>
    <w:basedOn w:val="972"/>
    <w:next w:val="990"/>
    <w:uiPriority w:val="0"/>
    <w:qFormat/>
    <w:pPr>
      <w:ind w:firstLine="570"/>
      <w:spacing w:line="360" w:lineRule="auto"/>
    </w:pPr>
    <w:rPr>
      <w:sz w:val="24"/>
    </w:rPr>
  </w:style>
  <w:style w:type="paragraph" w:styleId="990" w:customStyle="1">
    <w:name w:val="目录 51"/>
    <w:basedOn w:val="972"/>
    <w:next w:val="972"/>
    <w:uiPriority w:val="0"/>
    <w:qFormat/>
    <w:pPr>
      <w:ind w:left="1680"/>
    </w:pPr>
  </w:style>
  <w:style w:type="paragraph" w:styleId="991">
    <w:name w:val="toc 5"/>
    <w:basedOn w:val="972"/>
    <w:next w:val="972"/>
    <w:uiPriority w:val="0"/>
    <w:qFormat/>
    <w:pPr>
      <w:ind w:left="1680"/>
    </w:pPr>
  </w:style>
  <w:style w:type="paragraph" w:styleId="992">
    <w:name w:val="toc 3"/>
    <w:basedOn w:val="972"/>
    <w:next w:val="972"/>
    <w:uiPriority w:val="39"/>
    <w:qFormat/>
    <w:pPr>
      <w:ind w:left="840"/>
    </w:pPr>
  </w:style>
  <w:style w:type="paragraph" w:styleId="993">
    <w:name w:val="Plain Text"/>
    <w:basedOn w:val="972"/>
    <w:next w:val="985"/>
    <w:uiPriority w:val="99"/>
    <w:qFormat/>
    <w:pPr>
      <w:numPr>
        <w:ilvl w:val="0"/>
        <w:numId w:val="1"/>
      </w:numPr>
    </w:pPr>
    <w:rPr>
      <w:rFonts w:ascii="宋体" w:hAnsi="Courier New"/>
    </w:rPr>
  </w:style>
  <w:style w:type="paragraph" w:styleId="994">
    <w:name w:val="toc 8"/>
    <w:basedOn w:val="972"/>
    <w:next w:val="972"/>
    <w:uiPriority w:val="0"/>
    <w:qFormat/>
    <w:pPr>
      <w:ind w:left="2940"/>
    </w:pPr>
  </w:style>
  <w:style w:type="paragraph" w:styleId="995">
    <w:name w:val="endnote text"/>
    <w:basedOn w:val="972"/>
    <w:link w:val="1161"/>
    <w:uiPriority w:val="99"/>
    <w:semiHidden/>
    <w:unhideWhenUsed/>
    <w:qFormat/>
    <w:rPr>
      <w:sz w:val="20"/>
    </w:rPr>
  </w:style>
  <w:style w:type="paragraph" w:styleId="996">
    <w:name w:val="Balloon Text"/>
    <w:basedOn w:val="972"/>
    <w:link w:val="1408"/>
    <w:uiPriority w:val="99"/>
    <w:semiHidden/>
    <w:unhideWhenUsed/>
    <w:qFormat/>
    <w:rPr>
      <w:sz w:val="18"/>
      <w:szCs w:val="18"/>
    </w:rPr>
  </w:style>
  <w:style w:type="paragraph" w:styleId="997">
    <w:name w:val="Footer"/>
    <w:basedOn w:val="972"/>
    <w:link w:val="1034"/>
    <w:uiPriority w:val="99"/>
    <w:unhideWhenUsed/>
    <w:qFormat/>
    <w:pPr>
      <w:tabs>
        <w:tab w:val="center" w:pos="7143" w:leader="none"/>
        <w:tab w:val="right" w:pos="14287" w:leader="none"/>
      </w:tabs>
    </w:pPr>
  </w:style>
  <w:style w:type="paragraph" w:styleId="998">
    <w:name w:val="Header"/>
    <w:basedOn w:val="972"/>
    <w:link w:val="1032"/>
    <w:uiPriority w:val="99"/>
    <w:unhideWhenUsed/>
    <w:qFormat/>
    <w:pPr>
      <w:tabs>
        <w:tab w:val="center" w:pos="7143" w:leader="none"/>
        <w:tab w:val="right" w:pos="14287" w:leader="none"/>
      </w:tabs>
    </w:pPr>
  </w:style>
  <w:style w:type="paragraph" w:styleId="999">
    <w:name w:val="toc 1"/>
    <w:basedOn w:val="972"/>
    <w:next w:val="972"/>
    <w:uiPriority w:val="39"/>
    <w:qFormat/>
    <w:pPr>
      <w:spacing w:line="300" w:lineRule="auto"/>
      <w:tabs>
        <w:tab w:val="left" w:pos="1050" w:leader="none"/>
        <w:tab w:val="right" w:pos="8937" w:leader="dot"/>
      </w:tabs>
    </w:pPr>
    <w:rPr>
      <w:rFonts w:ascii="宋体" w:hAnsi="宋体"/>
      <w:b/>
      <w:sz w:val="24"/>
    </w:rPr>
  </w:style>
  <w:style w:type="paragraph" w:styleId="1000">
    <w:name w:val="toc 4"/>
    <w:basedOn w:val="972"/>
    <w:next w:val="972"/>
    <w:uiPriority w:val="0"/>
    <w:qFormat/>
    <w:pPr>
      <w:ind w:left="1260"/>
    </w:pPr>
  </w:style>
  <w:style w:type="paragraph" w:styleId="1001">
    <w:name w:val="Subtitle"/>
    <w:basedOn w:val="972"/>
    <w:next w:val="972"/>
    <w:link w:val="1027"/>
    <w:uiPriority w:val="11"/>
    <w:qFormat/>
    <w:pPr>
      <w:spacing w:before="200" w:after="200"/>
    </w:pPr>
    <w:rPr>
      <w:sz w:val="24"/>
    </w:rPr>
  </w:style>
  <w:style w:type="paragraph" w:styleId="1002">
    <w:name w:val="footnote text"/>
    <w:basedOn w:val="972"/>
    <w:link w:val="1160"/>
    <w:uiPriority w:val="99"/>
    <w:semiHidden/>
    <w:unhideWhenUsed/>
    <w:qFormat/>
    <w:pPr>
      <w:spacing w:after="40"/>
    </w:pPr>
    <w:rPr>
      <w:sz w:val="18"/>
    </w:rPr>
  </w:style>
  <w:style w:type="paragraph" w:styleId="1003">
    <w:name w:val="toc 6"/>
    <w:basedOn w:val="972"/>
    <w:next w:val="972"/>
    <w:uiPriority w:val="0"/>
    <w:qFormat/>
    <w:pPr>
      <w:ind w:left="2100"/>
    </w:pPr>
  </w:style>
  <w:style w:type="paragraph" w:styleId="1004">
    <w:name w:val="table of figures"/>
    <w:basedOn w:val="972"/>
    <w:next w:val="972"/>
    <w:uiPriority w:val="99"/>
    <w:unhideWhenUsed/>
    <w:qFormat/>
  </w:style>
  <w:style w:type="paragraph" w:styleId="1005">
    <w:name w:val="toc 2"/>
    <w:basedOn w:val="972"/>
    <w:next w:val="972"/>
    <w:uiPriority w:val="39"/>
    <w:qFormat/>
    <w:pPr>
      <w:ind w:left="420"/>
      <w:spacing w:line="312" w:lineRule="auto"/>
      <w:tabs>
        <w:tab w:val="right" w:pos="8937" w:leader="dot"/>
      </w:tabs>
    </w:pPr>
  </w:style>
  <w:style w:type="paragraph" w:styleId="1006">
    <w:name w:val="toc 9"/>
    <w:basedOn w:val="972"/>
    <w:next w:val="972"/>
    <w:uiPriority w:val="0"/>
    <w:qFormat/>
    <w:pPr>
      <w:ind w:left="3360"/>
    </w:pPr>
  </w:style>
  <w:style w:type="paragraph" w:styleId="1007">
    <w:name w:val="Title"/>
    <w:basedOn w:val="972"/>
    <w:next w:val="972"/>
    <w:link w:val="1026"/>
    <w:uiPriority w:val="10"/>
    <w:qFormat/>
    <w:pPr>
      <w:contextualSpacing/>
      <w:spacing w:before="300" w:after="200"/>
    </w:pPr>
    <w:rPr>
      <w:sz w:val="48"/>
      <w:szCs w:val="48"/>
    </w:rPr>
  </w:style>
  <w:style w:type="paragraph" w:styleId="1008">
    <w:name w:val="Body Text First Indent 2"/>
    <w:basedOn w:val="989"/>
    <w:next w:val="972"/>
    <w:uiPriority w:val="0"/>
    <w:qFormat/>
    <w:pPr>
      <w:ind w:left="420" w:firstLine="420"/>
      <w:spacing w:after="120" w:line="480" w:lineRule="exact"/>
    </w:pPr>
    <w:rPr>
      <w:szCs w:val="20"/>
    </w:rPr>
  </w:style>
  <w:style w:type="table" w:styleId="10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name w:val="endnote reference"/>
    <w:uiPriority w:val="99"/>
    <w:semiHidden/>
    <w:unhideWhenUsed/>
    <w:qFormat/>
    <w:rPr>
      <w:vertAlign w:val="superscript"/>
    </w:rPr>
  </w:style>
  <w:style w:type="character" w:styleId="1011">
    <w:name w:val="Hyperlink"/>
    <w:uiPriority w:val="99"/>
    <w:unhideWhenUsed/>
    <w:qFormat/>
    <w:rPr>
      <w:color w:val="0000ff" w:themeColor="hyperlink"/>
      <w:u w:val="single"/>
      <w14:textFill>
        <w14:solidFill>
          <w14:schemeClr w14:val="hlink"/>
        </w14:solidFill>
      </w14:textFill>
    </w:rPr>
  </w:style>
  <w:style w:type="character" w:styleId="1012">
    <w:name w:val="footnote reference"/>
    <w:uiPriority w:val="99"/>
    <w:unhideWhenUsed/>
    <w:qFormat/>
    <w:rPr>
      <w:vertAlign w:val="superscript"/>
    </w:rPr>
  </w:style>
  <w:style w:type="paragraph" w:styleId="1013" w:customStyle="1">
    <w:name w:val="表格文字"/>
    <w:basedOn w:val="989"/>
    <w:uiPriority w:val="0"/>
    <w:qFormat/>
    <w:pPr>
      <w:ind w:firstLine="0"/>
      <w:spacing w:before="20" w:after="20" w:line="240" w:lineRule="auto"/>
    </w:pPr>
    <w:rPr>
      <w:rFonts w:ascii="Century Gothic" w:hAnsi="Century Gothic"/>
      <w:sz w:val="20"/>
      <w:szCs w:val="20"/>
    </w:rPr>
  </w:style>
  <w:style w:type="paragraph" w:styleId="1014" w:customStyle="1">
    <w:name w:val="目录 11"/>
    <w:basedOn w:val="972"/>
    <w:next w:val="972"/>
    <w:uiPriority w:val="39"/>
    <w:unhideWhenUsed/>
    <w:qFormat/>
    <w:pPr>
      <w:jc w:val="left"/>
      <w:spacing w:after="100" w:line="259" w:lineRule="auto"/>
      <w:widowControl/>
    </w:pPr>
    <w:rPr>
      <w:rFonts w:ascii="Calibri" w:hAnsi="Calibri"/>
      <w:sz w:val="22"/>
      <w:szCs w:val="22"/>
    </w:rPr>
  </w:style>
  <w:style w:type="character" w:styleId="1015" w:customStyle="1">
    <w:name w:val="标题 1 Char"/>
    <w:link w:val="973"/>
    <w:uiPriority w:val="9"/>
    <w:qFormat/>
    <w:rPr>
      <w:rFonts w:ascii="Arial" w:hAnsi="Arial" w:eastAsia="Arial" w:cs="Arial"/>
      <w:sz w:val="40"/>
      <w:szCs w:val="40"/>
    </w:rPr>
  </w:style>
  <w:style w:type="character" w:styleId="1016" w:customStyle="1">
    <w:name w:val="标题 2 Char2"/>
    <w:link w:val="974"/>
    <w:uiPriority w:val="9"/>
    <w:qFormat/>
    <w:rPr>
      <w:rFonts w:ascii="Arial" w:hAnsi="Arial" w:eastAsia="Arial" w:cs="Arial"/>
      <w:sz w:val="34"/>
    </w:rPr>
  </w:style>
  <w:style w:type="character" w:styleId="1017" w:customStyle="1">
    <w:name w:val="标题 3 Char1"/>
    <w:link w:val="975"/>
    <w:uiPriority w:val="9"/>
    <w:qFormat/>
    <w:rPr>
      <w:rFonts w:ascii="Arial" w:hAnsi="Arial" w:eastAsia="Arial" w:cs="Arial"/>
      <w:sz w:val="30"/>
      <w:szCs w:val="30"/>
    </w:rPr>
  </w:style>
  <w:style w:type="character" w:styleId="1018" w:customStyle="1">
    <w:name w:val="标题 4 Char"/>
    <w:link w:val="976"/>
    <w:uiPriority w:val="9"/>
    <w:qFormat/>
    <w:rPr>
      <w:rFonts w:ascii="Arial" w:hAnsi="Arial" w:eastAsia="Arial" w:cs="Arial"/>
      <w:b/>
      <w:bCs/>
      <w:sz w:val="26"/>
      <w:szCs w:val="26"/>
    </w:rPr>
  </w:style>
  <w:style w:type="character" w:styleId="1019" w:customStyle="1">
    <w:name w:val="标题 5 Char"/>
    <w:link w:val="977"/>
    <w:uiPriority w:val="9"/>
    <w:qFormat/>
    <w:rPr>
      <w:rFonts w:ascii="Arial" w:hAnsi="Arial" w:eastAsia="Arial" w:cs="Arial"/>
      <w:b/>
      <w:bCs/>
      <w:sz w:val="24"/>
      <w:szCs w:val="24"/>
    </w:rPr>
  </w:style>
  <w:style w:type="character" w:styleId="1020" w:customStyle="1">
    <w:name w:val="标题 6 Char"/>
    <w:link w:val="978"/>
    <w:uiPriority w:val="9"/>
    <w:qFormat/>
    <w:rPr>
      <w:rFonts w:ascii="Arial" w:hAnsi="Arial" w:eastAsia="Arial" w:cs="Arial"/>
      <w:b/>
      <w:bCs/>
      <w:sz w:val="22"/>
      <w:szCs w:val="22"/>
    </w:rPr>
  </w:style>
  <w:style w:type="character" w:styleId="1021" w:customStyle="1">
    <w:name w:val="标题 7 Char"/>
    <w:link w:val="979"/>
    <w:uiPriority w:val="9"/>
    <w:qFormat/>
    <w:rPr>
      <w:rFonts w:ascii="Arial" w:hAnsi="Arial" w:eastAsia="Arial" w:cs="Arial"/>
      <w:b/>
      <w:bCs/>
      <w:i/>
      <w:iCs/>
      <w:sz w:val="22"/>
      <w:szCs w:val="22"/>
    </w:rPr>
  </w:style>
  <w:style w:type="character" w:styleId="1022" w:customStyle="1">
    <w:name w:val="标题 8 Char"/>
    <w:link w:val="980"/>
    <w:uiPriority w:val="9"/>
    <w:qFormat/>
    <w:rPr>
      <w:rFonts w:ascii="Arial" w:hAnsi="Arial" w:eastAsia="Arial" w:cs="Arial"/>
      <w:i/>
      <w:iCs/>
      <w:sz w:val="22"/>
      <w:szCs w:val="22"/>
    </w:rPr>
  </w:style>
  <w:style w:type="character" w:styleId="1023" w:customStyle="1">
    <w:name w:val="标题 9 Char"/>
    <w:link w:val="981"/>
    <w:uiPriority w:val="9"/>
    <w:qFormat/>
    <w:rPr>
      <w:rFonts w:ascii="Arial" w:hAnsi="Arial" w:eastAsia="Arial" w:cs="Arial"/>
      <w:i/>
      <w:iCs/>
      <w:sz w:val="21"/>
      <w:szCs w:val="21"/>
    </w:rPr>
  </w:style>
  <w:style w:type="paragraph" w:styleId="1024">
    <w:name w:val="List Paragraph"/>
    <w:basedOn w:val="972"/>
    <w:uiPriority w:val="34"/>
    <w:qFormat/>
    <w:pPr>
      <w:contextualSpacing/>
      <w:ind w:left="720"/>
    </w:pPr>
  </w:style>
  <w:style w:type="paragraph" w:styleId="1025">
    <w:name w:val="No Spacing"/>
    <w:uiPriority w:val="1"/>
    <w:qFormat/>
    <w:rPr>
      <w:rFonts w:ascii="Times New Roman" w:hAnsi="Times New Roman" w:eastAsia="宋体" w:cs="Times New Roman"/>
      <w:lang w:val="en-US" w:eastAsia="zh-CN" w:bidi="ar-SA"/>
    </w:rPr>
  </w:style>
  <w:style w:type="character" w:styleId="1026" w:customStyle="1">
    <w:name w:val="标题 Char1"/>
    <w:link w:val="1007"/>
    <w:uiPriority w:val="10"/>
    <w:qFormat/>
    <w:rPr>
      <w:sz w:val="48"/>
      <w:szCs w:val="48"/>
    </w:rPr>
  </w:style>
  <w:style w:type="character" w:styleId="1027" w:customStyle="1">
    <w:name w:val="副标题 Char"/>
    <w:link w:val="1001"/>
    <w:uiPriority w:val="11"/>
    <w:qFormat/>
    <w:rPr>
      <w:sz w:val="24"/>
      <w:szCs w:val="24"/>
    </w:rPr>
  </w:style>
  <w:style w:type="paragraph" w:styleId="1028">
    <w:name w:val="Quote"/>
    <w:basedOn w:val="972"/>
    <w:next w:val="972"/>
    <w:link w:val="1029"/>
    <w:uiPriority w:val="29"/>
    <w:qFormat/>
    <w:pPr>
      <w:ind w:left="720" w:right="720"/>
    </w:pPr>
    <w:rPr>
      <w:i/>
    </w:rPr>
  </w:style>
  <w:style w:type="character" w:styleId="1029" w:customStyle="1">
    <w:name w:val="引用 Char"/>
    <w:link w:val="1028"/>
    <w:uiPriority w:val="29"/>
    <w:qFormat/>
    <w:rPr>
      <w:i/>
    </w:rPr>
  </w:style>
  <w:style w:type="paragraph" w:styleId="1030">
    <w:name w:val="Intense Quote"/>
    <w:basedOn w:val="972"/>
    <w:next w:val="972"/>
    <w:link w:val="10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明显引用 Char"/>
    <w:link w:val="1030"/>
    <w:uiPriority w:val="30"/>
    <w:qFormat/>
    <w:rPr>
      <w:i/>
    </w:rPr>
  </w:style>
  <w:style w:type="character" w:styleId="1032" w:customStyle="1">
    <w:name w:val="页眉 Char1"/>
    <w:link w:val="998"/>
    <w:uiPriority w:val="99"/>
    <w:qFormat/>
  </w:style>
  <w:style w:type="character" w:styleId="1033" w:customStyle="1">
    <w:name w:val="Footer Char"/>
    <w:uiPriority w:val="99"/>
    <w:qFormat/>
  </w:style>
  <w:style w:type="character" w:styleId="1034" w:customStyle="1">
    <w:name w:val="页脚 Char1"/>
    <w:link w:val="997"/>
    <w:uiPriority w:val="99"/>
    <w:qFormat/>
  </w:style>
  <w:style w:type="table" w:styleId="10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0" w:customStyle="1">
    <w:name w:val="脚注文本 Char"/>
    <w:link w:val="1002"/>
    <w:uiPriority w:val="99"/>
    <w:qFormat/>
    <w:rPr>
      <w:sz w:val="18"/>
    </w:rPr>
  </w:style>
  <w:style w:type="character" w:styleId="1161" w:customStyle="1">
    <w:name w:val="尾注文本 Char"/>
    <w:link w:val="995"/>
    <w:uiPriority w:val="99"/>
    <w:qFormat/>
    <w:rPr>
      <w:sz w:val="20"/>
    </w:rPr>
  </w:style>
  <w:style w:type="paragraph" w:styleId="1162" w:customStyle="1">
    <w:name w:val="TOC 标题1"/>
    <w:uiPriority w:val="39"/>
    <w:unhideWhenUsed/>
    <w:qFormat/>
    <w:rPr>
      <w:rFonts w:ascii="Times New Roman" w:hAnsi="Times New Roman" w:eastAsia="宋体" w:cs="Times New Roman"/>
      <w:lang w:val="en-US" w:eastAsia="zh-CN" w:bidi="ar-SA"/>
    </w:rPr>
  </w:style>
  <w:style w:type="paragraph" w:styleId="1163" w:customStyle="1">
    <w:name w:val="标题 11"/>
    <w:basedOn w:val="972"/>
    <w:next w:val="972"/>
    <w:link w:val="1175"/>
    <w:uiPriority w:val="0"/>
    <w:qFormat/>
    <w:pPr>
      <w:jc w:val="center"/>
      <w:keepLines/>
      <w:keepNext/>
      <w:spacing w:before="240" w:after="120" w:line="300" w:lineRule="auto"/>
      <w:outlineLvl w:val="0"/>
    </w:pPr>
    <w:rPr>
      <w:rFonts w:ascii="宋体"/>
      <w:b/>
      <w:sz w:val="32"/>
      <w:szCs w:val="20"/>
    </w:rPr>
  </w:style>
  <w:style w:type="paragraph" w:styleId="1164" w:customStyle="1">
    <w:name w:val="标题 21"/>
    <w:basedOn w:val="972"/>
    <w:next w:val="1165"/>
    <w:link w:val="1176"/>
    <w:uiPriority w:val="0"/>
    <w:qFormat/>
    <w:pPr>
      <w:jc w:val="center"/>
      <w:keepLines/>
      <w:keepNext/>
      <w:spacing w:before="120" w:line="300" w:lineRule="auto"/>
      <w:outlineLvl w:val="1"/>
    </w:pPr>
    <w:rPr>
      <w:rFonts w:ascii="Arial" w:hAnsi="Arial" w:eastAsia="黑体"/>
      <w:b/>
      <w:sz w:val="30"/>
      <w:szCs w:val="20"/>
    </w:rPr>
  </w:style>
  <w:style w:type="paragraph" w:styleId="1165" w:customStyle="1">
    <w:name w:val="正文缩进11"/>
    <w:basedOn w:val="972"/>
    <w:next w:val="972"/>
    <w:link w:val="1177"/>
    <w:uiPriority w:val="0"/>
    <w:qFormat/>
    <w:pPr>
      <w:ind w:firstLine="420"/>
      <w:jc w:val="left"/>
    </w:pPr>
    <w:rPr>
      <w:rFonts w:ascii="宋体"/>
      <w:sz w:val="24"/>
    </w:rPr>
  </w:style>
  <w:style w:type="paragraph" w:styleId="1166" w:customStyle="1">
    <w:name w:val="标题 31"/>
    <w:basedOn w:val="972"/>
    <w:next w:val="1165"/>
    <w:link w:val="1178"/>
    <w:uiPriority w:val="0"/>
    <w:qFormat/>
    <w:pPr>
      <w:jc w:val="left"/>
      <w:keepLines/>
      <w:keepNext/>
      <w:spacing w:before="360" w:after="120"/>
      <w:outlineLvl w:val="2"/>
    </w:pPr>
    <w:rPr>
      <w:rFonts w:ascii="宋体"/>
      <w:b/>
      <w:sz w:val="24"/>
      <w:szCs w:val="20"/>
      <w:u w:val="single"/>
    </w:rPr>
  </w:style>
  <w:style w:type="paragraph" w:styleId="1167" w:customStyle="1">
    <w:name w:val="标题 41"/>
    <w:basedOn w:val="972"/>
    <w:next w:val="972"/>
    <w:link w:val="1179"/>
    <w:uiPriority w:val="0"/>
    <w:qFormat/>
    <w:pPr>
      <w:keepLines/>
      <w:keepNext/>
      <w:spacing w:before="280" w:after="290" w:line="376" w:lineRule="atLeast"/>
      <w:outlineLvl w:val="3"/>
    </w:pPr>
    <w:rPr>
      <w:rFonts w:ascii="Arial" w:hAnsi="Arial" w:eastAsia="黑体"/>
      <w:b/>
      <w:sz w:val="28"/>
      <w:szCs w:val="20"/>
    </w:rPr>
  </w:style>
  <w:style w:type="paragraph" w:styleId="1168" w:customStyle="1">
    <w:name w:val="标题 51"/>
    <w:basedOn w:val="972"/>
    <w:next w:val="972"/>
    <w:link w:val="1180"/>
    <w:uiPriority w:val="0"/>
    <w:qFormat/>
    <w:pPr>
      <w:keepLines/>
      <w:keepNext/>
      <w:spacing w:before="280" w:after="290" w:line="376" w:lineRule="atLeast"/>
      <w:outlineLvl w:val="4"/>
    </w:pPr>
    <w:rPr>
      <w:b/>
      <w:sz w:val="28"/>
      <w:szCs w:val="20"/>
    </w:rPr>
  </w:style>
  <w:style w:type="paragraph" w:styleId="1169" w:customStyle="1">
    <w:name w:val="标题 61"/>
    <w:basedOn w:val="972"/>
    <w:next w:val="972"/>
    <w:link w:val="1181"/>
    <w:uiPriority w:val="0"/>
    <w:qFormat/>
    <w:pPr>
      <w:keepLines/>
      <w:keepNext/>
      <w:spacing w:before="240" w:after="64" w:line="320" w:lineRule="atLeast"/>
      <w:outlineLvl w:val="5"/>
    </w:pPr>
    <w:rPr>
      <w:rFonts w:ascii="Arial" w:hAnsi="Arial" w:eastAsia="黑体"/>
      <w:b/>
      <w:sz w:val="24"/>
      <w:szCs w:val="20"/>
    </w:rPr>
  </w:style>
  <w:style w:type="paragraph" w:styleId="1170" w:customStyle="1">
    <w:name w:val="标题 71"/>
    <w:basedOn w:val="972"/>
    <w:next w:val="972"/>
    <w:link w:val="1182"/>
    <w:uiPriority w:val="0"/>
    <w:qFormat/>
    <w:pPr>
      <w:keepLines/>
      <w:keepNext/>
      <w:spacing w:before="240" w:after="64" w:line="320" w:lineRule="atLeast"/>
      <w:outlineLvl w:val="6"/>
    </w:pPr>
    <w:rPr>
      <w:b/>
      <w:sz w:val="24"/>
      <w:szCs w:val="20"/>
    </w:rPr>
  </w:style>
  <w:style w:type="paragraph" w:styleId="1171" w:customStyle="1">
    <w:name w:val="标题 81"/>
    <w:basedOn w:val="972"/>
    <w:next w:val="972"/>
    <w:link w:val="1183"/>
    <w:uiPriority w:val="0"/>
    <w:qFormat/>
    <w:pPr>
      <w:keepLines/>
      <w:keepNext/>
      <w:spacing w:before="240" w:after="64" w:line="320" w:lineRule="atLeast"/>
      <w:outlineLvl w:val="7"/>
    </w:pPr>
    <w:rPr>
      <w:rFonts w:ascii="Arial" w:hAnsi="Arial" w:eastAsia="黑体"/>
      <w:sz w:val="24"/>
      <w:szCs w:val="20"/>
    </w:rPr>
  </w:style>
  <w:style w:type="paragraph" w:styleId="1172" w:customStyle="1">
    <w:name w:val="标题 91"/>
    <w:basedOn w:val="972"/>
    <w:next w:val="972"/>
    <w:link w:val="1184"/>
    <w:uiPriority w:val="0"/>
    <w:qFormat/>
    <w:pPr>
      <w:keepLines/>
      <w:keepNext/>
      <w:spacing w:before="240" w:after="64" w:line="320" w:lineRule="atLeast"/>
      <w:outlineLvl w:val="8"/>
    </w:pPr>
    <w:rPr>
      <w:rFonts w:ascii="Arial" w:hAnsi="Arial" w:eastAsia="黑体"/>
      <w:szCs w:val="20"/>
    </w:rPr>
  </w:style>
  <w:style w:type="character" w:styleId="1173" w:customStyle="1">
    <w:name w:val="默认段落字体1"/>
    <w:uiPriority w:val="1"/>
    <w:unhideWhenUsed/>
    <w:qFormat/>
  </w:style>
  <w:style w:type="table" w:styleId="1174" w:customStyle="1">
    <w:name w:val="普通表格1"/>
    <w:uiPriority w:val="99"/>
    <w:unhideWhenUsed/>
    <w:qFormat/>
    <w:tblPr>
      <w:tblCellMar>
        <w:left w:w="0" w:type="dxa"/>
        <w:top w:w="0" w:type="dxa"/>
        <w:right w:w="0" w:type="dxa"/>
        <w:bottom w:w="0" w:type="dxa"/>
      </w:tblCellMar>
    </w:tblPr>
  </w:style>
  <w:style w:type="character" w:styleId="1175" w:customStyle="1">
    <w:name w:val="标题 1 字符"/>
    <w:link w:val="1163"/>
    <w:uiPriority w:val="0"/>
    <w:qFormat/>
    <w:rPr>
      <w:rFonts w:ascii="宋体"/>
      <w:b/>
      <w:sz w:val="32"/>
    </w:rPr>
  </w:style>
  <w:style w:type="character" w:styleId="1176" w:customStyle="1">
    <w:name w:val="标题 2 字符"/>
    <w:link w:val="1164"/>
    <w:uiPriority w:val="0"/>
    <w:qFormat/>
    <w:rPr>
      <w:rFonts w:ascii="Arial" w:hAnsi="Arial" w:eastAsia="黑体"/>
      <w:b/>
      <w:sz w:val="30"/>
      <w:lang w:val="en-US" w:eastAsia="zh-CN" w:bidi="ar-SA"/>
    </w:rPr>
  </w:style>
  <w:style w:type="character" w:styleId="1177" w:customStyle="1">
    <w:name w:val="正文缩进 字符"/>
    <w:link w:val="1165"/>
    <w:uiPriority w:val="0"/>
    <w:qFormat/>
    <w:rPr>
      <w:rFonts w:ascii="宋体" w:eastAsia="宋体"/>
      <w:sz w:val="24"/>
      <w:szCs w:val="24"/>
      <w:lang w:val="en-US" w:eastAsia="zh-CN" w:bidi="ar-SA"/>
    </w:rPr>
  </w:style>
  <w:style w:type="character" w:styleId="1178" w:customStyle="1">
    <w:name w:val="标题 3 字符"/>
    <w:link w:val="1166"/>
    <w:uiPriority w:val="0"/>
    <w:qFormat/>
    <w:rPr>
      <w:rFonts w:ascii="宋体" w:eastAsia="宋体"/>
      <w:b/>
      <w:sz w:val="24"/>
      <w:u w:val="single"/>
      <w:lang w:val="en-US" w:eastAsia="zh-CN" w:bidi="ar-SA"/>
    </w:rPr>
  </w:style>
  <w:style w:type="character" w:styleId="1179" w:customStyle="1">
    <w:name w:val="标题 4 字符"/>
    <w:link w:val="1167"/>
    <w:uiPriority w:val="0"/>
    <w:qFormat/>
    <w:rPr>
      <w:rFonts w:ascii="Arial" w:hAnsi="Arial" w:eastAsia="黑体"/>
      <w:b/>
      <w:sz w:val="28"/>
    </w:rPr>
  </w:style>
  <w:style w:type="character" w:styleId="1180" w:customStyle="1">
    <w:name w:val="标题 5 字符"/>
    <w:link w:val="1168"/>
    <w:uiPriority w:val="0"/>
    <w:qFormat/>
    <w:rPr>
      <w:b/>
      <w:sz w:val="28"/>
    </w:rPr>
  </w:style>
  <w:style w:type="character" w:styleId="1181" w:customStyle="1">
    <w:name w:val="标题 6 字符"/>
    <w:link w:val="1169"/>
    <w:uiPriority w:val="0"/>
    <w:qFormat/>
    <w:rPr>
      <w:rFonts w:ascii="Arial" w:hAnsi="Arial" w:eastAsia="黑体"/>
      <w:b/>
      <w:sz w:val="24"/>
    </w:rPr>
  </w:style>
  <w:style w:type="character" w:styleId="1182" w:customStyle="1">
    <w:name w:val="标题 7 字符"/>
    <w:link w:val="1170"/>
    <w:uiPriority w:val="0"/>
    <w:qFormat/>
    <w:rPr>
      <w:b/>
      <w:sz w:val="24"/>
    </w:rPr>
  </w:style>
  <w:style w:type="character" w:styleId="1183" w:customStyle="1">
    <w:name w:val="标题 8 字符"/>
    <w:link w:val="1171"/>
    <w:uiPriority w:val="0"/>
    <w:qFormat/>
    <w:rPr>
      <w:rFonts w:ascii="Arial" w:hAnsi="Arial" w:eastAsia="黑体"/>
      <w:sz w:val="24"/>
    </w:rPr>
  </w:style>
  <w:style w:type="character" w:styleId="1184" w:customStyle="1">
    <w:name w:val="标题 9 字符"/>
    <w:link w:val="1172"/>
    <w:uiPriority w:val="0"/>
    <w:qFormat/>
    <w:rPr>
      <w:rFonts w:ascii="Arial" w:hAnsi="Arial" w:eastAsia="黑体"/>
      <w:sz w:val="21"/>
    </w:rPr>
  </w:style>
  <w:style w:type="paragraph" w:styleId="1185" w:customStyle="1">
    <w:name w:val="题注1"/>
    <w:basedOn w:val="972"/>
    <w:next w:val="972"/>
    <w:uiPriority w:val="0"/>
    <w:qFormat/>
    <w:pPr>
      <w:spacing w:line="480" w:lineRule="auto"/>
    </w:pPr>
    <w:rPr>
      <w:rFonts w:ascii="华文中宋" w:hAnsi="华文中宋" w:eastAsia="华文中宋"/>
      <w:sz w:val="36"/>
      <w:szCs w:val="20"/>
    </w:rPr>
  </w:style>
  <w:style w:type="paragraph" w:styleId="1186" w:customStyle="1">
    <w:name w:val="文档结构图1"/>
    <w:basedOn w:val="972"/>
    <w:link w:val="1187"/>
    <w:uiPriority w:val="0"/>
    <w:qFormat/>
    <w:pPr>
      <w:shd w:val="clear" w:color="auto" w:fill="000080"/>
    </w:pPr>
  </w:style>
  <w:style w:type="character" w:styleId="1187" w:customStyle="1">
    <w:name w:val="文档结构图 字符"/>
    <w:link w:val="1186"/>
    <w:uiPriority w:val="0"/>
    <w:qFormat/>
    <w:rPr>
      <w:sz w:val="21"/>
      <w:szCs w:val="24"/>
      <w:shd w:val="clear" w:color="auto" w:fill="000080"/>
    </w:rPr>
  </w:style>
  <w:style w:type="paragraph" w:styleId="1188" w:customStyle="1">
    <w:name w:val="批注文字1"/>
    <w:basedOn w:val="972"/>
    <w:link w:val="1189"/>
    <w:uiPriority w:val="99"/>
    <w:qFormat/>
    <w:pPr>
      <w:jc w:val="left"/>
    </w:pPr>
  </w:style>
  <w:style w:type="character" w:styleId="1189" w:customStyle="1">
    <w:name w:val="批注文字 字符1"/>
    <w:link w:val="1188"/>
    <w:uiPriority w:val="99"/>
    <w:qFormat/>
    <w:rPr>
      <w:sz w:val="21"/>
      <w:szCs w:val="24"/>
    </w:rPr>
  </w:style>
  <w:style w:type="paragraph" w:styleId="1190" w:customStyle="1">
    <w:name w:val="正文文本 31"/>
    <w:basedOn w:val="972"/>
    <w:link w:val="1191"/>
    <w:uiPriority w:val="0"/>
    <w:qFormat/>
    <w:pPr>
      <w:spacing w:after="120"/>
    </w:pPr>
    <w:rPr>
      <w:sz w:val="16"/>
      <w:szCs w:val="16"/>
    </w:rPr>
  </w:style>
  <w:style w:type="character" w:styleId="1191" w:customStyle="1">
    <w:name w:val="正文文本 3 字符"/>
    <w:link w:val="1190"/>
    <w:uiPriority w:val="0"/>
    <w:qFormat/>
    <w:rPr>
      <w:sz w:val="16"/>
      <w:szCs w:val="16"/>
    </w:rPr>
  </w:style>
  <w:style w:type="paragraph" w:styleId="1192" w:customStyle="1">
    <w:name w:val="正文文本1"/>
    <w:basedOn w:val="972"/>
    <w:link w:val="1193"/>
    <w:uiPriority w:val="0"/>
    <w:qFormat/>
    <w:pPr>
      <w:spacing w:before="120" w:line="22" w:lineRule="atLeast"/>
      <w:tabs>
        <w:tab w:val="left" w:pos="567" w:leader="none"/>
      </w:tabs>
    </w:pPr>
    <w:rPr>
      <w:rFonts w:ascii="宋体" w:hAnsi="宋体"/>
      <w:sz w:val="24"/>
    </w:rPr>
  </w:style>
  <w:style w:type="character" w:styleId="1193" w:customStyle="1">
    <w:name w:val="正文文本 字符"/>
    <w:link w:val="1192"/>
    <w:uiPriority w:val="0"/>
    <w:qFormat/>
    <w:rPr>
      <w:rFonts w:ascii="宋体" w:hAnsi="宋体"/>
      <w:sz w:val="24"/>
      <w:szCs w:val="24"/>
    </w:rPr>
  </w:style>
  <w:style w:type="paragraph" w:styleId="1194" w:customStyle="1">
    <w:name w:val="正文文本缩进11"/>
    <w:basedOn w:val="972"/>
    <w:link w:val="1195"/>
    <w:uiPriority w:val="0"/>
    <w:qFormat/>
    <w:pPr>
      <w:ind w:firstLine="570"/>
      <w:spacing w:line="360" w:lineRule="auto"/>
    </w:pPr>
    <w:rPr>
      <w:sz w:val="24"/>
    </w:rPr>
  </w:style>
  <w:style w:type="character" w:styleId="1195" w:customStyle="1">
    <w:name w:val="正文文本缩进 字符"/>
    <w:link w:val="1194"/>
    <w:uiPriority w:val="0"/>
    <w:qFormat/>
    <w:rPr>
      <w:rFonts w:eastAsia="宋体"/>
      <w:sz w:val="24"/>
      <w:szCs w:val="24"/>
      <w:lang w:val="en-US" w:eastAsia="zh-CN" w:bidi="ar-SA"/>
    </w:rPr>
  </w:style>
  <w:style w:type="paragraph" w:styleId="1196" w:customStyle="1">
    <w:name w:val="列表 21"/>
    <w:basedOn w:val="972"/>
    <w:uiPriority w:val="0"/>
    <w:qFormat/>
    <w:pPr>
      <w:ind w:left="100" w:hanging="200"/>
    </w:pPr>
  </w:style>
  <w:style w:type="paragraph" w:styleId="1197" w:customStyle="1">
    <w:name w:val="文本块1"/>
    <w:basedOn w:val="972"/>
    <w:uiPriority w:val="0"/>
    <w:qFormat/>
    <w:pPr>
      <w:ind w:left="480" w:right="-341" w:firstLine="513"/>
      <w:widowControl/>
    </w:pPr>
    <w:rPr>
      <w:sz w:val="24"/>
      <w:szCs w:val="20"/>
    </w:rPr>
  </w:style>
  <w:style w:type="paragraph" w:styleId="1198" w:customStyle="1">
    <w:name w:val="纯文本1"/>
    <w:basedOn w:val="972"/>
    <w:next w:val="1165"/>
    <w:link w:val="1199"/>
    <w:uiPriority w:val="0"/>
    <w:qFormat/>
    <w:rPr>
      <w:rFonts w:hint="eastAsia" w:ascii="宋体" w:hAnsi="Courier New"/>
      <w:szCs w:val="20"/>
    </w:rPr>
  </w:style>
  <w:style w:type="character" w:styleId="1199" w:customStyle="1">
    <w:name w:val="纯文本 字符2"/>
    <w:link w:val="1198"/>
    <w:uiPriority w:val="0"/>
    <w:qFormat/>
    <w:rPr>
      <w:rFonts w:hint="eastAsia" w:ascii="宋体" w:hAnsi="Courier New" w:eastAsia="宋体" w:cs="宋体"/>
      <w:sz w:val="21"/>
    </w:rPr>
  </w:style>
  <w:style w:type="paragraph" w:styleId="1200" w:customStyle="1">
    <w:name w:val="日期1"/>
    <w:basedOn w:val="972"/>
    <w:next w:val="972"/>
    <w:link w:val="1201"/>
    <w:uiPriority w:val="0"/>
    <w:qFormat/>
    <w:pPr>
      <w:ind w:left="100"/>
    </w:pPr>
    <w:rPr>
      <w:rFonts w:ascii="仿宋_GB2312" w:hAnsi="宋体" w:eastAsia="仿宋_GB2312"/>
      <w:color w:val="000000"/>
      <w:sz w:val="24"/>
    </w:rPr>
  </w:style>
  <w:style w:type="character" w:styleId="1201" w:customStyle="1">
    <w:name w:val="日期 字符"/>
    <w:link w:val="1200"/>
    <w:uiPriority w:val="0"/>
    <w:qFormat/>
    <w:rPr>
      <w:rFonts w:ascii="仿宋_GB2312" w:hAnsi="宋体" w:eastAsia="仿宋_GB2312"/>
      <w:color w:val="000000"/>
      <w:sz w:val="24"/>
      <w:szCs w:val="24"/>
    </w:rPr>
  </w:style>
  <w:style w:type="paragraph" w:styleId="1202" w:customStyle="1">
    <w:name w:val="正文文本缩进 21"/>
    <w:basedOn w:val="972"/>
    <w:link w:val="1203"/>
    <w:uiPriority w:val="0"/>
    <w:qFormat/>
    <w:pPr>
      <w:ind w:firstLine="480"/>
    </w:pPr>
    <w:rPr>
      <w:rFonts w:ascii="仿宋_GB2312" w:eastAsia="仿宋_GB2312"/>
      <w:sz w:val="24"/>
    </w:rPr>
  </w:style>
  <w:style w:type="character" w:styleId="1203" w:customStyle="1">
    <w:name w:val="正文文本缩进 2 字符"/>
    <w:link w:val="1202"/>
    <w:uiPriority w:val="0"/>
    <w:qFormat/>
    <w:rPr>
      <w:rFonts w:ascii="仿宋_GB2312" w:eastAsia="仿宋_GB2312"/>
      <w:sz w:val="24"/>
      <w:szCs w:val="24"/>
    </w:rPr>
  </w:style>
  <w:style w:type="paragraph" w:styleId="1204" w:customStyle="1">
    <w:name w:val="批注框文本1"/>
    <w:basedOn w:val="972"/>
    <w:link w:val="1205"/>
    <w:uiPriority w:val="0"/>
    <w:qFormat/>
    <w:rPr>
      <w:sz w:val="18"/>
      <w:szCs w:val="18"/>
    </w:rPr>
  </w:style>
  <w:style w:type="character" w:styleId="1205" w:customStyle="1">
    <w:name w:val="批注框文本 字符"/>
    <w:link w:val="1204"/>
    <w:uiPriority w:val="0"/>
    <w:qFormat/>
    <w:rPr>
      <w:sz w:val="18"/>
      <w:szCs w:val="18"/>
    </w:rPr>
  </w:style>
  <w:style w:type="paragraph" w:styleId="1206" w:customStyle="1">
    <w:name w:val="页脚1"/>
    <w:basedOn w:val="972"/>
    <w:link w:val="1207"/>
    <w:uiPriority w:val="99"/>
    <w:qFormat/>
    <w:pPr>
      <w:jc w:val="left"/>
      <w:tabs>
        <w:tab w:val="center" w:pos="4153" w:leader="none"/>
        <w:tab w:val="right" w:pos="8306" w:leader="none"/>
      </w:tabs>
    </w:pPr>
    <w:rPr>
      <w:rFonts w:ascii="宋体"/>
      <w:sz w:val="18"/>
      <w:szCs w:val="20"/>
    </w:rPr>
  </w:style>
  <w:style w:type="character" w:styleId="1207" w:customStyle="1">
    <w:name w:val="页脚 字符"/>
    <w:link w:val="1206"/>
    <w:uiPriority w:val="99"/>
    <w:qFormat/>
    <w:rPr>
      <w:rFonts w:ascii="宋体" w:eastAsia="宋体"/>
      <w:sz w:val="18"/>
      <w:lang w:val="en-US" w:eastAsia="zh-CN" w:bidi="ar-SA"/>
    </w:rPr>
  </w:style>
  <w:style w:type="paragraph" w:styleId="1208" w:customStyle="1">
    <w:name w:val="寄信人地址1"/>
    <w:basedOn w:val="972"/>
    <w:uiPriority w:val="0"/>
    <w:qFormat/>
    <w:rPr>
      <w:rFonts w:ascii="Arial" w:hAnsi="Arial"/>
    </w:rPr>
  </w:style>
  <w:style w:type="paragraph" w:styleId="1209" w:customStyle="1">
    <w:name w:val="页眉1"/>
    <w:basedOn w:val="972"/>
    <w:link w:val="1210"/>
    <w:uiPriority w:val="0"/>
    <w:qFormat/>
    <w:pPr>
      <w:jc w:val="center"/>
      <w:tabs>
        <w:tab w:val="center" w:pos="4153" w:leader="none"/>
        <w:tab w:val="right" w:pos="8306" w:leader="none"/>
      </w:tabs>
      <w:pBdr>
        <w:bottom w:val="none" w:color="000000" w:sz="0" w:space="1"/>
      </w:pBdr>
    </w:pPr>
    <w:rPr>
      <w:sz w:val="18"/>
      <w:szCs w:val="18"/>
    </w:rPr>
  </w:style>
  <w:style w:type="character" w:styleId="1210" w:customStyle="1">
    <w:name w:val="页眉 字符"/>
    <w:link w:val="1209"/>
    <w:uiPriority w:val="0"/>
    <w:qFormat/>
    <w:rPr>
      <w:rFonts w:eastAsia="宋体"/>
      <w:sz w:val="18"/>
      <w:szCs w:val="18"/>
      <w:lang w:val="en-US" w:eastAsia="zh-CN" w:bidi="ar-SA"/>
    </w:rPr>
  </w:style>
  <w:style w:type="paragraph" w:styleId="1211" w:customStyle="1">
    <w:name w:val="正文文本缩进 31"/>
    <w:basedOn w:val="972"/>
    <w:link w:val="1212"/>
    <w:uiPriority w:val="0"/>
    <w:qFormat/>
    <w:pPr>
      <w:ind w:left="720" w:firstLine="480"/>
      <w:jc w:val="left"/>
      <w:spacing w:before="120" w:line="22" w:lineRule="atLeast"/>
    </w:pPr>
    <w:rPr>
      <w:rFonts w:ascii="宋体"/>
      <w:sz w:val="24"/>
      <w:szCs w:val="20"/>
    </w:rPr>
  </w:style>
  <w:style w:type="character" w:styleId="1212" w:customStyle="1">
    <w:name w:val="正文文本缩进 3 字符"/>
    <w:link w:val="1211"/>
    <w:uiPriority w:val="0"/>
    <w:qFormat/>
    <w:rPr>
      <w:rFonts w:ascii="宋体"/>
      <w:sz w:val="24"/>
    </w:rPr>
  </w:style>
  <w:style w:type="paragraph" w:styleId="1213" w:customStyle="1">
    <w:name w:val="HTML 预设格式1"/>
    <w:basedOn w:val="972"/>
    <w:link w:val="12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14" w:customStyle="1">
    <w:name w:val="HTML 预设格式 字符"/>
    <w:link w:val="1213"/>
    <w:uiPriority w:val="0"/>
    <w:qFormat/>
    <w:rPr>
      <w:rFonts w:ascii="宋体" w:hAnsi="宋体" w:cs="宋体"/>
      <w:sz w:val="24"/>
      <w:szCs w:val="24"/>
    </w:rPr>
  </w:style>
  <w:style w:type="paragraph" w:styleId="1215" w:customStyle="1">
    <w:name w:val="普通(网站)1"/>
    <w:basedOn w:val="972"/>
    <w:uiPriority w:val="0"/>
    <w:unhideWhenUsed/>
    <w:qFormat/>
    <w:pPr>
      <w:jc w:val="left"/>
      <w:spacing w:before="100" w:beforeAutospacing="1" w:after="100" w:afterAutospacing="1"/>
      <w:widowControl/>
    </w:pPr>
    <w:rPr>
      <w:rFonts w:ascii="宋体" w:hAnsi="宋体" w:cs="宋体"/>
      <w:sz w:val="24"/>
    </w:rPr>
  </w:style>
  <w:style w:type="paragraph" w:styleId="1216" w:customStyle="1">
    <w:name w:val="索引 11"/>
    <w:basedOn w:val="972"/>
    <w:next w:val="972"/>
    <w:uiPriority w:val="0"/>
    <w:qFormat/>
    <w:rPr>
      <w:szCs w:val="20"/>
    </w:rPr>
  </w:style>
  <w:style w:type="paragraph" w:styleId="1217" w:customStyle="1">
    <w:name w:val="标题1"/>
    <w:basedOn w:val="972"/>
    <w:link w:val="1218"/>
    <w:uiPriority w:val="0"/>
    <w:qFormat/>
    <w:pPr>
      <w:jc w:val="center"/>
      <w:outlineLvl w:val="0"/>
    </w:pPr>
    <w:rPr>
      <w:b/>
      <w:sz w:val="32"/>
      <w:szCs w:val="20"/>
    </w:rPr>
  </w:style>
  <w:style w:type="character" w:styleId="1218" w:customStyle="1">
    <w:name w:val="标题 字符"/>
    <w:link w:val="1217"/>
    <w:uiPriority w:val="0"/>
    <w:qFormat/>
    <w:rPr>
      <w:b/>
      <w:sz w:val="32"/>
    </w:rPr>
  </w:style>
  <w:style w:type="paragraph" w:styleId="1219" w:customStyle="1">
    <w:name w:val="批注主题1"/>
    <w:basedOn w:val="1188"/>
    <w:next w:val="1188"/>
    <w:link w:val="1220"/>
    <w:uiPriority w:val="0"/>
    <w:qFormat/>
    <w:rPr>
      <w:b/>
      <w:bCs/>
    </w:rPr>
  </w:style>
  <w:style w:type="character" w:styleId="1220" w:customStyle="1">
    <w:name w:val="批注主题 字符"/>
    <w:link w:val="1219"/>
    <w:uiPriority w:val="0"/>
    <w:qFormat/>
    <w:rPr>
      <w:rFonts w:ascii="Times New Roman" w:hAnsi="Times New Roman" w:eastAsia="宋体" w:cs="Times New Roman"/>
      <w:b/>
      <w:bCs/>
      <w:sz w:val="21"/>
      <w:szCs w:val="24"/>
      <w:lang w:val="en-US" w:eastAsia="zh-CN" w:bidi="ar-SA"/>
    </w:rPr>
  </w:style>
  <w:style w:type="paragraph" w:styleId="1221" w:customStyle="1">
    <w:name w:val="正文文本首行缩进 21"/>
    <w:basedOn w:val="1194"/>
    <w:link w:val="1222"/>
    <w:uiPriority w:val="99"/>
    <w:qFormat/>
    <w:pPr>
      <w:ind w:left="420" w:firstLine="420"/>
      <w:spacing w:after="120" w:line="480" w:lineRule="exact"/>
    </w:pPr>
    <w:rPr>
      <w:szCs w:val="20"/>
    </w:rPr>
  </w:style>
  <w:style w:type="character" w:styleId="1222" w:customStyle="1">
    <w:name w:val="正文文本首行缩进 2 字符"/>
    <w:link w:val="1221"/>
    <w:uiPriority w:val="99"/>
    <w:qFormat/>
    <w:rPr>
      <w:rFonts w:eastAsia="宋体"/>
      <w:sz w:val="24"/>
      <w:szCs w:val="24"/>
      <w:lang w:val="en-US" w:eastAsia="zh-CN" w:bidi="ar-SA"/>
    </w:rPr>
  </w:style>
  <w:style w:type="table" w:styleId="1223" w:customStyle="1">
    <w:name w:val="网格型1"/>
    <w:basedOn w:val="1174"/>
    <w:uiPriority w:val="39"/>
    <w:qFormat/>
    <w:tblPr/>
  </w:style>
  <w:style w:type="table" w:styleId="1224" w:customStyle="1">
    <w:name w:val="中等深浅网格 1 - 着色 21"/>
    <w:basedOn w:val="1174"/>
    <w:uiPriority w:val="0"/>
    <w:qFormat/>
    <w:rPr>
      <w:sz w:val="21"/>
      <w:szCs w:val="24"/>
    </w:rPr>
    <w:tblPr/>
  </w:style>
  <w:style w:type="character" w:styleId="1225" w:customStyle="1">
    <w:name w:val="要点1"/>
    <w:uiPriority w:val="0"/>
    <w:qFormat/>
    <w:rPr>
      <w:b/>
      <w:bCs/>
    </w:rPr>
  </w:style>
  <w:style w:type="character" w:styleId="1226" w:customStyle="1">
    <w:name w:val="页码1"/>
    <w:uiPriority w:val="0"/>
    <w:qFormat/>
  </w:style>
  <w:style w:type="character" w:styleId="1227" w:customStyle="1">
    <w:name w:val="访问过的超链接1"/>
    <w:uiPriority w:val="0"/>
    <w:qFormat/>
    <w:rPr>
      <w:color w:val="800080"/>
      <w:u w:val="single"/>
    </w:rPr>
  </w:style>
  <w:style w:type="character" w:styleId="1228" w:customStyle="1">
    <w:name w:val="强调1"/>
    <w:uiPriority w:val="0"/>
    <w:qFormat/>
    <w:rPr>
      <w:color w:val="cc0033"/>
    </w:rPr>
  </w:style>
  <w:style w:type="character" w:styleId="1229" w:customStyle="1">
    <w:name w:val="超链接1"/>
    <w:uiPriority w:val="99"/>
    <w:qFormat/>
    <w:rPr>
      <w:color w:val="0000ff"/>
      <w:u w:val="single"/>
    </w:rPr>
  </w:style>
  <w:style w:type="character" w:styleId="1230" w:customStyle="1">
    <w:name w:val="批注引用1"/>
    <w:uiPriority w:val="99"/>
    <w:qFormat/>
    <w:rPr>
      <w:sz w:val="21"/>
      <w:szCs w:val="21"/>
    </w:rPr>
  </w:style>
  <w:style w:type="character" w:styleId="1231" w:customStyle="1">
    <w:name w:val="HTML 引文1"/>
    <w:uiPriority w:val="0"/>
    <w:qFormat/>
    <w:rPr>
      <w:i/>
      <w:iCs/>
    </w:rPr>
  </w:style>
  <w:style w:type="paragraph" w:styleId="123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33" w:customStyle="1">
    <w:name w:val="段"/>
    <w:next w:val="972"/>
    <w:uiPriority w:val="0"/>
    <w:qFormat/>
    <w:pPr>
      <w:ind w:firstLine="200"/>
      <w:jc w:val="both"/>
    </w:pPr>
    <w:rPr>
      <w:rFonts w:ascii="宋体" w:hAnsi="Times New Roman" w:eastAsia="宋体" w:cs="Times New Roman"/>
      <w:sz w:val="21"/>
      <w:lang w:val="en-US" w:eastAsia="zh-CN" w:bidi="ar-SA"/>
    </w:rPr>
  </w:style>
  <w:style w:type="character" w:styleId="1234" w:customStyle="1">
    <w:name w:val="批注文字 字符"/>
    <w:uiPriority w:val="99"/>
    <w:qFormat/>
    <w:rPr>
      <w:rFonts w:ascii="Times New Roman" w:hAnsi="Times New Roman" w:eastAsia="宋体" w:cs="Times New Roman"/>
      <w:sz w:val="24"/>
      <w:lang w:val="en-US" w:eastAsia="zh-CN" w:bidi="ar-SA"/>
    </w:rPr>
  </w:style>
  <w:style w:type="character" w:styleId="1235" w:customStyle="1">
    <w:name w:val="c21"/>
    <w:uiPriority w:val="0"/>
    <w:qFormat/>
    <w:rPr>
      <w:rFonts w:ascii="ˎ̥" w:hAnsi="ˎ̥"/>
      <w:color w:val="000000"/>
      <w:sz w:val="20"/>
      <w:szCs w:val="20"/>
      <w:u w:val="none"/>
    </w:rPr>
  </w:style>
  <w:style w:type="character" w:styleId="1236" w:customStyle="1">
    <w:name w:val="title4"/>
    <w:uiPriority w:val="0"/>
    <w:qFormat/>
    <w:rPr>
      <w:b/>
      <w:bCs/>
      <w:color w:val="1d87b3"/>
      <w:sz w:val="15"/>
      <w:szCs w:val="15"/>
    </w:rPr>
  </w:style>
  <w:style w:type="character" w:styleId="1237" w:customStyle="1">
    <w:name w:val="标题 2 Char Char"/>
    <w:uiPriority w:val="0"/>
    <w:qFormat/>
    <w:rPr>
      <w:rFonts w:ascii="Arial" w:hAnsi="Arial" w:eastAsia="黑体"/>
      <w:b/>
      <w:bCs/>
      <w:sz w:val="32"/>
      <w:szCs w:val="32"/>
      <w:lang w:val="en-US" w:eastAsia="zh-CN" w:bidi="ar-SA"/>
    </w:rPr>
  </w:style>
  <w:style w:type="character" w:styleId="1238" w:customStyle="1">
    <w:name w:val="black1"/>
    <w:uiPriority w:val="0"/>
    <w:qFormat/>
    <w:rPr>
      <w:color w:val="000000"/>
    </w:rPr>
  </w:style>
  <w:style w:type="character" w:styleId="1239" w:customStyle="1">
    <w:name w:val="street-address"/>
    <w:uiPriority w:val="0"/>
    <w:qFormat/>
  </w:style>
  <w:style w:type="character" w:styleId="1240" w:customStyle="1">
    <w:name w:val="locality"/>
    <w:uiPriority w:val="0"/>
    <w:qFormat/>
  </w:style>
  <w:style w:type="character" w:styleId="1241" w:customStyle="1">
    <w:name w:val="正文文本缩进 Char1"/>
    <w:link w:val="1242"/>
    <w:uiPriority w:val="0"/>
    <w:qFormat/>
    <w:rPr>
      <w:rFonts w:ascii="宋体" w:hAnsi="宋体" w:eastAsia="宋体"/>
      <w:sz w:val="24"/>
      <w:szCs w:val="24"/>
      <w:lang w:bidi="ar-SA"/>
    </w:rPr>
  </w:style>
  <w:style w:type="paragraph" w:styleId="1242" w:customStyle="1">
    <w:name w:val="正文文本缩进1"/>
    <w:basedOn w:val="972"/>
    <w:link w:val="1241"/>
    <w:uiPriority w:val="0"/>
    <w:qFormat/>
    <w:pPr>
      <w:ind w:firstLine="480"/>
      <w:spacing w:line="480" w:lineRule="exact"/>
    </w:pPr>
    <w:rPr>
      <w:rFonts w:ascii="宋体" w:hAnsi="宋体"/>
      <w:sz w:val="24"/>
    </w:rPr>
  </w:style>
  <w:style w:type="character" w:styleId="1243" w:customStyle="1">
    <w:name w:val="Char Char11"/>
    <w:uiPriority w:val="0"/>
    <w:qFormat/>
    <w:rPr>
      <w:rFonts w:ascii="宋体" w:eastAsia="宋体"/>
      <w:b/>
      <w:sz w:val="24"/>
      <w:u w:val="single"/>
      <w:lang w:val="en-US" w:eastAsia="zh-CN" w:bidi="ar-SA"/>
    </w:rPr>
  </w:style>
  <w:style w:type="character" w:styleId="1244" w:customStyle="1">
    <w:name w:val="txt"/>
    <w:uiPriority w:val="0"/>
    <w:qFormat/>
  </w:style>
  <w:style w:type="character" w:styleId="1245" w:customStyle="1">
    <w:name w:val="正文缩进 Char Char"/>
    <w:link w:val="1246"/>
    <w:uiPriority w:val="0"/>
    <w:qFormat/>
    <w:rPr>
      <w:rFonts w:ascii="宋体" w:eastAsia="宋体"/>
      <w:color w:val="000000"/>
      <w:sz w:val="28"/>
      <w:lang w:bidi="ar-SA"/>
    </w:rPr>
  </w:style>
  <w:style w:type="paragraph" w:styleId="1246" w:customStyle="1">
    <w:name w:val="正文缩进1"/>
    <w:basedOn w:val="972"/>
    <w:link w:val="1245"/>
    <w:uiPriority w:val="0"/>
    <w:qFormat/>
    <w:pPr>
      <w:ind w:firstLine="567"/>
      <w:spacing w:line="480" w:lineRule="exact"/>
      <w:widowControl/>
    </w:pPr>
    <w:rPr>
      <w:rFonts w:ascii="宋体"/>
      <w:color w:val="000000"/>
      <w:sz w:val="28"/>
      <w:szCs w:val="20"/>
    </w:rPr>
  </w:style>
  <w:style w:type="character" w:styleId="1247" w:customStyle="1">
    <w:name w:val="普通文字1 Char1"/>
    <w:uiPriority w:val="0"/>
    <w:qFormat/>
    <w:rPr>
      <w:rFonts w:ascii="宋体" w:hAnsi="Courier New" w:eastAsia="宋体"/>
      <w:sz w:val="21"/>
      <w:lang w:val="en-US" w:eastAsia="zh-CN" w:bidi="ar-SA"/>
    </w:rPr>
  </w:style>
  <w:style w:type="character" w:styleId="1248" w:customStyle="1">
    <w:name w:val="chanpin1"/>
    <w:uiPriority w:val="0"/>
    <w:qFormat/>
    <w:rPr>
      <w:rFonts w:ascii="ˎ̥" w:hAnsi="ˎ̥"/>
      <w:color w:val="000000"/>
      <w:sz w:val="20"/>
      <w:szCs w:val="20"/>
      <w:u w:val="none"/>
    </w:rPr>
  </w:style>
  <w:style w:type="character" w:styleId="1249" w:customStyle="1">
    <w:name w:val="列表段落 字符"/>
    <w:link w:val="1250"/>
    <w:uiPriority w:val="34"/>
    <w:qFormat/>
    <w:rPr>
      <w:rFonts w:ascii="Calibri" w:hAnsi="Calibri" w:eastAsia="宋体"/>
      <w:sz w:val="21"/>
      <w:szCs w:val="22"/>
      <w:lang w:val="en-US" w:eastAsia="zh-CN" w:bidi="ar-SA"/>
    </w:rPr>
  </w:style>
  <w:style w:type="paragraph" w:styleId="1250" w:customStyle="1">
    <w:name w:val="列表段落1"/>
    <w:basedOn w:val="972"/>
    <w:link w:val="1249"/>
    <w:uiPriority w:val="34"/>
    <w:qFormat/>
    <w:pPr>
      <w:ind w:firstLine="420"/>
    </w:pPr>
    <w:rPr>
      <w:rFonts w:ascii="Calibri" w:hAnsi="Calibri"/>
      <w:szCs w:val="22"/>
    </w:rPr>
  </w:style>
  <w:style w:type="character" w:styleId="1251" w:customStyle="1">
    <w:name w:val="标题 3 Char Char"/>
    <w:uiPriority w:val="0"/>
    <w:qFormat/>
    <w:rPr>
      <w:rFonts w:eastAsia="宋体"/>
      <w:b/>
      <w:bCs/>
      <w:sz w:val="32"/>
      <w:szCs w:val="32"/>
      <w:lang w:val="en-US" w:eastAsia="zh-CN" w:bidi="ar-SA"/>
    </w:rPr>
  </w:style>
  <w:style w:type="character" w:styleId="1252" w:customStyle="1">
    <w:name w:val="段1 Char"/>
    <w:uiPriority w:val="0"/>
    <w:qFormat/>
    <w:rPr>
      <w:rFonts w:ascii="宋体" w:eastAsia="宋体"/>
      <w:sz w:val="24"/>
      <w:lang w:val="en-US" w:eastAsia="zh-CN" w:bidi="ar-SA"/>
    </w:rPr>
  </w:style>
  <w:style w:type="character" w:styleId="1253" w:customStyle="1">
    <w:name w:val="chanpin拷贝"/>
    <w:uiPriority w:val="0"/>
    <w:qFormat/>
  </w:style>
  <w:style w:type="character" w:styleId="1254" w:customStyle="1">
    <w:name w:val="纯文本 Char1"/>
    <w:uiPriority w:val="0"/>
    <w:qFormat/>
    <w:rPr>
      <w:rFonts w:ascii="宋体" w:hAnsi="Courier New" w:eastAsia="宋体"/>
      <w:sz w:val="21"/>
      <w:lang w:val="en-US" w:eastAsia="zh-CN" w:bidi="ar-SA"/>
    </w:rPr>
  </w:style>
  <w:style w:type="character" w:styleId="1255" w:customStyle="1">
    <w:name w:val="apple-style-span"/>
    <w:uiPriority w:val="0"/>
    <w:qFormat/>
    <w:rPr>
      <w:rFonts w:cs="Times New Roman"/>
    </w:rPr>
  </w:style>
  <w:style w:type="paragraph" w:styleId="1256" w:customStyle="1">
    <w:name w:val="二级条标题"/>
    <w:basedOn w:val="1257"/>
    <w:next w:val="97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7" w:customStyle="1">
    <w:name w:val="一级条标题"/>
    <w:basedOn w:val="1258"/>
    <w:next w:val="972"/>
    <w:uiPriority w:val="0"/>
    <w:qFormat/>
    <w:pPr>
      <w:numPr>
        <w:ilvl w:val="1"/>
      </w:numPr>
      <w:ind w:left="0" w:hanging="840"/>
      <w:tabs>
        <w:tab w:val="left" w:pos="360" w:leader="none"/>
        <w:tab w:val="left" w:pos="840" w:leader="none"/>
      </w:tabs>
      <w:outlineLvl w:val="1"/>
    </w:pPr>
  </w:style>
  <w:style w:type="paragraph" w:styleId="1258" w:customStyle="1">
    <w:name w:val="章标题"/>
    <w:next w:val="972"/>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59" w:customStyle="1">
    <w:name w:val="font7"/>
    <w:basedOn w:val="972"/>
    <w:uiPriority w:val="0"/>
    <w:qFormat/>
    <w:pPr>
      <w:jc w:val="left"/>
      <w:spacing w:before="100" w:beforeAutospacing="1" w:after="100" w:afterAutospacing="1"/>
      <w:widowControl/>
    </w:pPr>
    <w:rPr>
      <w:rFonts w:eastAsia="Arial Unicode MS"/>
      <w:b/>
      <w:bCs/>
      <w:color w:val="000000"/>
      <w:sz w:val="20"/>
      <w:szCs w:val="20"/>
    </w:rPr>
  </w:style>
  <w:style w:type="paragraph" w:styleId="1260" w:customStyle="1">
    <w:name w:val="字元 字元"/>
    <w:basedOn w:val="972"/>
    <w:uiPriority w:val="0"/>
    <w:qFormat/>
    <w:rPr>
      <w:rFonts w:ascii="Tahoma" w:hAnsi="Tahoma"/>
      <w:sz w:val="24"/>
      <w:szCs w:val="20"/>
    </w:rPr>
  </w:style>
  <w:style w:type="paragraph" w:styleId="1261" w:customStyle="1">
    <w:name w:val="Char3 Char Char Char"/>
    <w:basedOn w:val="972"/>
    <w:uiPriority w:val="0"/>
    <w:qFormat/>
    <w:rPr>
      <w:rFonts w:ascii="Tahoma" w:hAnsi="Tahoma"/>
      <w:sz w:val="24"/>
      <w:szCs w:val="20"/>
    </w:rPr>
  </w:style>
  <w:style w:type="paragraph" w:styleId="1262" w:customStyle="1">
    <w:name w:val="font6"/>
    <w:basedOn w:val="972"/>
    <w:uiPriority w:val="0"/>
    <w:qFormat/>
    <w:pPr>
      <w:jc w:val="left"/>
      <w:spacing w:before="100" w:beforeAutospacing="1" w:after="100" w:afterAutospacing="1"/>
      <w:widowControl/>
    </w:pPr>
    <w:rPr>
      <w:rFonts w:ascii="宋体" w:hAnsi="宋体" w:cs="宋体"/>
      <w:sz w:val="20"/>
      <w:szCs w:val="20"/>
    </w:rPr>
  </w:style>
  <w:style w:type="paragraph" w:styleId="1263" w:customStyle="1">
    <w:name w:val="项目编号2"/>
    <w:basedOn w:val="1264"/>
    <w:uiPriority w:val="0"/>
    <w:qFormat/>
    <w:pPr>
      <w:numPr>
        <w:numId w:val="3"/>
      </w:numPr>
    </w:pPr>
  </w:style>
  <w:style w:type="paragraph" w:styleId="1264" w:customStyle="1">
    <w:name w:val="项目编号1"/>
    <w:basedOn w:val="972"/>
    <w:uiPriority w:val="0"/>
    <w:qFormat/>
    <w:pPr>
      <w:numPr>
        <w:ilvl w:val="0"/>
        <w:numId w:val="4"/>
      </w:numPr>
      <w:spacing w:before="100" w:beforeAutospacing="1" w:after="100" w:afterAutospacing="1" w:line="360" w:lineRule="auto"/>
    </w:pPr>
    <w:rPr>
      <w:sz w:val="24"/>
    </w:rPr>
  </w:style>
  <w:style w:type="paragraph" w:styleId="1265" w:customStyle="1">
    <w:name w:val="图中文字"/>
    <w:basedOn w:val="972"/>
    <w:uiPriority w:val="0"/>
    <w:qFormat/>
    <w:pPr>
      <w:jc w:val="center"/>
      <w:spacing w:line="0" w:lineRule="atLeast"/>
    </w:pPr>
    <w:rPr>
      <w:sz w:val="24"/>
      <w:szCs w:val="20"/>
    </w:rPr>
  </w:style>
  <w:style w:type="paragraph" w:styleId="1266" w:customStyle="1">
    <w:name w:val="xl46"/>
    <w:basedOn w:val="97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7" w:customStyle="1">
    <w:name w:val="xl25"/>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customStyle="1">
    <w:name w:val="Char2"/>
    <w:basedOn w:val="972"/>
    <w:uiPriority w:val="0"/>
    <w:qFormat/>
    <w:rPr>
      <w:rFonts w:ascii="Tahoma" w:hAnsi="Tahoma"/>
      <w:sz w:val="24"/>
      <w:szCs w:val="20"/>
    </w:rPr>
  </w:style>
  <w:style w:type="paragraph" w:styleId="1269" w:customStyle="1">
    <w:name w:val="xl35"/>
    <w:basedOn w:val="97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customStyle="1">
    <w:name w:val="xl40"/>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customStyle="1">
    <w:name w:val="xl52"/>
    <w:basedOn w:val="97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2" w:customStyle="1">
    <w:name w:val="xl43"/>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3" w:customStyle="1">
    <w:name w:val="background1"/>
    <w:basedOn w:val="972"/>
    <w:uiPriority w:val="0"/>
    <w:qFormat/>
    <w:pPr>
      <w:jc w:val="left"/>
      <w:spacing w:before="100" w:beforeAutospacing="1" w:after="100" w:afterAutospacing="1"/>
      <w:widowControl/>
    </w:pPr>
    <w:rPr>
      <w:rFonts w:ascii="宋体" w:hAnsi="宋体" w:cs="宋体"/>
      <w:sz w:val="24"/>
    </w:rPr>
  </w:style>
  <w:style w:type="paragraph" w:styleId="1274" w:customStyle="1">
    <w:name w:val="Char Char Char Char Char Char Char"/>
    <w:basedOn w:val="972"/>
    <w:uiPriority w:val="0"/>
    <w:qFormat/>
    <w:pPr>
      <w:ind w:firstLine="200"/>
      <w:spacing w:line="360" w:lineRule="auto"/>
    </w:pPr>
    <w:rPr>
      <w:rFonts w:eastAsia="仿宋_GB2312"/>
      <w:sz w:val="24"/>
    </w:rPr>
  </w:style>
  <w:style w:type="paragraph" w:styleId="1275" w:customStyle="1">
    <w:name w:val="xl38"/>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6" w:customStyle="1">
    <w:name w:val="xl36"/>
    <w:basedOn w:val="97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7" w:customStyle="1">
    <w:name w:val="正文 + 宋体"/>
    <w:basedOn w:val="972"/>
    <w:uiPriority w:val="0"/>
    <w:qFormat/>
    <w:pPr>
      <w:ind w:left="360" w:hanging="360"/>
      <w:jc w:val="left"/>
      <w:widowControl/>
    </w:pPr>
    <w:rPr>
      <w:rFonts w:ascii="宋体" w:hAnsi="宋体" w:cs="宋体"/>
      <w:b/>
      <w:bCs/>
      <w:color w:val="000000"/>
      <w:sz w:val="18"/>
      <w:szCs w:val="18"/>
    </w:rPr>
  </w:style>
  <w:style w:type="paragraph" w:styleId="1278" w:customStyle="1">
    <w:name w:val="正文列项_数字"/>
    <w:basedOn w:val="972"/>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279" w:customStyle="1">
    <w:name w:val="xl39"/>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customStyle="1">
    <w:name w:val="xl37"/>
    <w:basedOn w:val="97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1" w:customStyle="1">
    <w:name w:val="xl32"/>
    <w:basedOn w:val="97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customStyle="1">
    <w:name w:val="font8"/>
    <w:basedOn w:val="972"/>
    <w:uiPriority w:val="0"/>
    <w:qFormat/>
    <w:pPr>
      <w:jc w:val="left"/>
      <w:spacing w:before="100" w:beforeAutospacing="1" w:after="100" w:afterAutospacing="1"/>
      <w:widowControl/>
    </w:pPr>
    <w:rPr>
      <w:sz w:val="36"/>
      <w:szCs w:val="36"/>
    </w:rPr>
  </w:style>
  <w:style w:type="paragraph" w:styleId="1283" w:customStyle="1">
    <w:name w:val="Char"/>
    <w:basedOn w:val="972"/>
    <w:uiPriority w:val="0"/>
    <w:qFormat/>
    <w:pPr>
      <w:tabs>
        <w:tab w:val="left" w:pos="360" w:leader="none"/>
      </w:tabs>
    </w:pPr>
    <w:rPr>
      <w:sz w:val="24"/>
    </w:rPr>
  </w:style>
  <w:style w:type="paragraph" w:styleId="1284" w:customStyle="1">
    <w:name w:val="Char Char Char Char Char Char Char Char Char Char Char Char Char Char Char Char"/>
    <w:basedOn w:val="972"/>
    <w:uiPriority w:val="0"/>
    <w:qFormat/>
    <w:pPr>
      <w:jc w:val="center"/>
      <w:spacing w:after="160" w:line="240" w:lineRule="exact"/>
      <w:widowControl/>
    </w:pPr>
    <w:rPr>
      <w:rFonts w:ascii="宋体" w:hAnsi="宋体"/>
      <w:b/>
      <w:sz w:val="30"/>
      <w:szCs w:val="30"/>
      <w:lang w:eastAsia="en-US"/>
    </w:rPr>
  </w:style>
  <w:style w:type="paragraph" w:styleId="1285" w:customStyle="1">
    <w:name w:val="xl45"/>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6" w:customStyle="1">
    <w:name w:val="Char Char1 Char Char Char Char Char Char"/>
    <w:basedOn w:val="972"/>
    <w:uiPriority w:val="0"/>
    <w:qFormat/>
    <w:pPr>
      <w:jc w:val="left"/>
      <w:spacing w:after="160" w:line="240" w:lineRule="exact"/>
      <w:widowControl/>
    </w:pPr>
    <w:rPr>
      <w:rFonts w:ascii="Verdana" w:hAnsi="Verdana" w:eastAsia="仿宋_GB2312"/>
      <w:sz w:val="24"/>
      <w:szCs w:val="20"/>
      <w:lang w:eastAsia="en-US"/>
    </w:rPr>
  </w:style>
  <w:style w:type="paragraph" w:styleId="1287" w:customStyle="1">
    <w:name w:val="Char Char1"/>
    <w:basedOn w:val="1186"/>
    <w:uiPriority w:val="0"/>
    <w:qFormat/>
    <w:rPr>
      <w:rFonts w:ascii="Tahoma" w:hAnsi="Tahoma"/>
      <w:sz w:val="24"/>
    </w:rPr>
  </w:style>
  <w:style w:type="paragraph" w:styleId="1288" w:customStyle="1">
    <w:name w:val="xl26"/>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9" w:customStyle="1">
    <w:name w:val="xl30"/>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customStyle="1">
    <w:name w:val="xl41"/>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1" w:customStyle="1">
    <w:name w:val="样式 宋体 五号 行距: 单倍行距"/>
    <w:basedOn w:val="972"/>
    <w:uiPriority w:val="0"/>
    <w:qFormat/>
    <w:pPr>
      <w:jc w:val="left"/>
    </w:pPr>
    <w:rPr>
      <w:rFonts w:ascii="宋体" w:hAnsi="宋体"/>
      <w:szCs w:val="20"/>
    </w:rPr>
  </w:style>
  <w:style w:type="paragraph" w:styleId="1292" w:customStyle="1">
    <w:name w:val="Char1 Char Char Char1"/>
    <w:basedOn w:val="972"/>
    <w:uiPriority w:val="0"/>
    <w:qFormat/>
    <w:rPr>
      <w:rFonts w:ascii="Tahoma" w:hAnsi="Tahoma" w:cs="仿宋_GB2312"/>
      <w:sz w:val="24"/>
      <w:szCs w:val="28"/>
    </w:rPr>
  </w:style>
  <w:style w:type="paragraph" w:styleId="1293" w:customStyle="1">
    <w:name w:val="四级条标题"/>
    <w:basedOn w:val="1294"/>
    <w:next w:val="972"/>
    <w:uiPriority w:val="0"/>
    <w:qFormat/>
    <w:pPr>
      <w:numPr>
        <w:ilvl w:val="4"/>
      </w:numPr>
      <w:ind w:left="0" w:hanging="840"/>
      <w:tabs>
        <w:tab w:val="left" w:pos="360" w:leader="none"/>
        <w:tab w:val="left" w:pos="840" w:leader="none"/>
      </w:tabs>
      <w:outlineLvl w:val="4"/>
    </w:pPr>
  </w:style>
  <w:style w:type="paragraph" w:styleId="1294" w:customStyle="1">
    <w:name w:val="三级条标题"/>
    <w:basedOn w:val="1256"/>
    <w:next w:val="972"/>
    <w:uiPriority w:val="0"/>
    <w:qFormat/>
    <w:pPr>
      <w:numPr>
        <w:ilvl w:val="3"/>
        <w:numId w:val="2"/>
      </w:numPr>
      <w:ind w:left="0" w:hanging="840"/>
      <w:outlineLvl w:val="3"/>
    </w:pPr>
  </w:style>
  <w:style w:type="paragraph" w:styleId="129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96" w:customStyle="1">
    <w:name w:val="样式 标题 2 + 宋体 五号 行距: 单倍行距"/>
    <w:basedOn w:val="1164"/>
    <w:uiPriority w:val="0"/>
    <w:qFormat/>
    <w:pPr>
      <w:numPr>
        <w:ilvl w:val="1"/>
        <w:numId w:val="5"/>
      </w:numPr>
      <w:jc w:val="left"/>
      <w:spacing w:before="260" w:after="260" w:line="240" w:lineRule="auto"/>
    </w:pPr>
    <w:rPr>
      <w:rFonts w:ascii="宋体" w:hAnsi="宋体" w:eastAsia="宋体"/>
      <w:bCs/>
      <w:sz w:val="21"/>
    </w:rPr>
  </w:style>
  <w:style w:type="paragraph" w:styleId="1297" w:customStyle="1">
    <w:name w:val="List Paragraph1"/>
    <w:basedOn w:val="972"/>
    <w:uiPriority w:val="0"/>
    <w:qFormat/>
    <w:pPr>
      <w:ind w:firstLine="420"/>
    </w:pPr>
    <w:rPr>
      <w:rFonts w:ascii="Calibri" w:hAnsi="Calibri"/>
      <w:szCs w:val="22"/>
    </w:rPr>
  </w:style>
  <w:style w:type="paragraph" w:styleId="1298" w:customStyle="1">
    <w:name w:val="项目符号1"/>
    <w:basedOn w:val="1299"/>
    <w:uiPriority w:val="0"/>
    <w:qFormat/>
    <w:pPr>
      <w:ind w:left="-25" w:firstLine="0"/>
    </w:pPr>
  </w:style>
  <w:style w:type="paragraph" w:styleId="1299" w:customStyle="1">
    <w:name w:val="正文文本样式"/>
    <w:basedOn w:val="972"/>
    <w:uiPriority w:val="0"/>
    <w:qFormat/>
    <w:pPr>
      <w:ind w:firstLine="482"/>
      <w:spacing w:line="360" w:lineRule="auto"/>
    </w:pPr>
    <w:rPr>
      <w:rFonts w:cs="宋体"/>
      <w:sz w:val="24"/>
      <w:szCs w:val="20"/>
    </w:rPr>
  </w:style>
  <w:style w:type="paragraph" w:styleId="1300" w:customStyle="1">
    <w:name w:val="xl27"/>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customStyle="1">
    <w:name w:val="font5"/>
    <w:basedOn w:val="972"/>
    <w:uiPriority w:val="0"/>
    <w:qFormat/>
    <w:pPr>
      <w:jc w:val="left"/>
      <w:spacing w:before="100" w:beforeAutospacing="1" w:after="100" w:afterAutospacing="1"/>
      <w:widowControl/>
    </w:pPr>
    <w:rPr>
      <w:rFonts w:ascii="宋体" w:hAnsi="宋体" w:cs="宋体"/>
      <w:sz w:val="18"/>
      <w:szCs w:val="18"/>
    </w:rPr>
  </w:style>
  <w:style w:type="paragraph" w:styleId="1302" w:customStyle="1">
    <w:name w:val="五级条标题"/>
    <w:basedOn w:val="1293"/>
    <w:next w:val="972"/>
    <w:uiPriority w:val="0"/>
    <w:qFormat/>
    <w:pPr>
      <w:numPr>
        <w:ilvl w:val="5"/>
      </w:numPr>
      <w:ind w:left="0" w:hanging="840"/>
      <w:outlineLvl w:val="5"/>
    </w:pPr>
  </w:style>
  <w:style w:type="paragraph" w:styleId="1303" w:customStyle="1">
    <w:name w:val="xl49"/>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4" w:customStyle="1">
    <w:name w:val="文档正文"/>
    <w:basedOn w:val="972"/>
    <w:uiPriority w:val="0"/>
    <w:qFormat/>
    <w:pPr>
      <w:spacing w:before="120" w:after="120" w:line="180" w:lineRule="auto"/>
    </w:pPr>
    <w:rPr>
      <w:rFonts w:ascii="Arial" w:hAnsi="Arial"/>
      <w:szCs w:val="20"/>
    </w:rPr>
  </w:style>
  <w:style w:type="paragraph" w:styleId="1305" w:customStyle="1">
    <w:name w:val="xl33"/>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6" w:customStyle="1">
    <w:name w:val="xl42"/>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7" w:customStyle="1">
    <w:name w:val="Char Char Char1 Char"/>
    <w:basedOn w:val="972"/>
    <w:uiPriority w:val="0"/>
    <w:qFormat/>
    <w:rPr>
      <w:rFonts w:ascii="Tahoma" w:hAnsi="Tahoma"/>
      <w:sz w:val="24"/>
      <w:szCs w:val="20"/>
    </w:rPr>
  </w:style>
  <w:style w:type="paragraph" w:styleId="1308" w:customStyle="1">
    <w:name w:val="xl44"/>
    <w:basedOn w:val="9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9" w:customStyle="1">
    <w:name w:val="1名"/>
    <w:basedOn w:val="972"/>
    <w:uiPriority w:val="0"/>
    <w:qFormat/>
    <w:pPr>
      <w:numPr>
        <w:ilvl w:val="0"/>
        <w:numId w:val="6"/>
      </w:numPr>
      <w:spacing w:before="120"/>
    </w:pPr>
    <w:rPr>
      <w:rFonts w:ascii="宋体"/>
      <w:sz w:val="28"/>
      <w:szCs w:val="20"/>
    </w:rPr>
  </w:style>
  <w:style w:type="paragraph" w:styleId="1310" w:customStyle="1">
    <w:name w:val="font9"/>
    <w:basedOn w:val="97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11" w:customStyle="1">
    <w:name w:val="Char Char Char1 Char1"/>
    <w:basedOn w:val="972"/>
    <w:uiPriority w:val="0"/>
    <w:qFormat/>
    <w:rPr>
      <w:rFonts w:ascii="Tahoma" w:hAnsi="Tahoma"/>
      <w:sz w:val="24"/>
      <w:szCs w:val="20"/>
    </w:rPr>
  </w:style>
  <w:style w:type="paragraph" w:styleId="1312" w:customStyle="1">
    <w:name w:val="Char Char Char Char Char Char Char Char Char Char"/>
    <w:basedOn w:val="972"/>
    <w:uiPriority w:val="0"/>
    <w:qFormat/>
  </w:style>
  <w:style w:type="paragraph" w:styleId="1313" w:customStyle="1">
    <w:name w:val="Char Char1 Char Char Char Char Char Char Char Char"/>
    <w:basedOn w:val="972"/>
    <w:uiPriority w:val="0"/>
    <w:qFormat/>
    <w:pPr>
      <w:jc w:val="left"/>
      <w:spacing w:after="160" w:line="240" w:lineRule="exact"/>
      <w:widowControl/>
    </w:pPr>
    <w:rPr>
      <w:rFonts w:ascii="Verdana" w:hAnsi="Verdana"/>
      <w:sz w:val="20"/>
      <w:szCs w:val="20"/>
      <w:lang w:eastAsia="en-US"/>
    </w:rPr>
  </w:style>
  <w:style w:type="paragraph" w:styleId="1314" w:customStyle="1">
    <w:name w:val="Char1"/>
    <w:basedOn w:val="972"/>
    <w:uiPriority w:val="0"/>
    <w:qFormat/>
    <w:pPr>
      <w:tabs>
        <w:tab w:val="left" w:pos="360" w:leader="none"/>
      </w:tabs>
    </w:pPr>
    <w:rPr>
      <w:sz w:val="24"/>
    </w:rPr>
  </w:style>
  <w:style w:type="paragraph" w:styleId="1315" w:customStyle="1">
    <w:name w:val="正文列项_字母"/>
    <w:basedOn w:val="972"/>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316" w:customStyle="1">
    <w:name w:val="xl28"/>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customStyle="1">
    <w:name w:val="xl47"/>
    <w:basedOn w:val="9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customStyle="1">
    <w:name w:val="默认段落字体 Para Char Char Char Char"/>
    <w:basedOn w:val="972"/>
    <w:uiPriority w:val="0"/>
    <w:qFormat/>
    <w:rPr>
      <w:rFonts w:ascii="Arial" w:hAnsi="Arial" w:cs="Arial"/>
      <w:szCs w:val="21"/>
    </w:rPr>
  </w:style>
  <w:style w:type="paragraph" w:styleId="1319" w:customStyle="1">
    <w:name w:val="xl48"/>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0" w:customStyle="1">
    <w:name w:val="xl31"/>
    <w:basedOn w:val="97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1" w:customStyle="1">
    <w:name w:val="xl53"/>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2" w:customStyle="1">
    <w:name w:val="Char Char Char"/>
    <w:basedOn w:val="972"/>
    <w:uiPriority w:val="0"/>
    <w:qFormat/>
    <w:rPr>
      <w:rFonts w:ascii="Tahoma" w:hAnsi="Tahoma"/>
      <w:sz w:val="24"/>
      <w:szCs w:val="20"/>
    </w:rPr>
  </w:style>
  <w:style w:type="paragraph" w:styleId="1323" w:customStyle="1">
    <w:name w:val="xl50"/>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4" w:customStyle="1">
    <w:name w:val="缺省文本"/>
    <w:basedOn w:val="972"/>
    <w:uiPriority w:val="0"/>
    <w:qFormat/>
    <w:pPr>
      <w:jc w:val="left"/>
    </w:pPr>
    <w:rPr>
      <w:sz w:val="24"/>
    </w:rPr>
  </w:style>
  <w:style w:type="paragraph" w:styleId="1325" w:customStyle="1">
    <w:name w:val="Char Char Char1"/>
    <w:basedOn w:val="972"/>
    <w:uiPriority w:val="0"/>
    <w:qFormat/>
    <w:rPr>
      <w:rFonts w:ascii="Tahoma" w:hAnsi="Tahoma"/>
      <w:sz w:val="24"/>
      <w:szCs w:val="20"/>
    </w:rPr>
  </w:style>
  <w:style w:type="paragraph" w:styleId="1326" w:customStyle="1">
    <w:name w:val="Char Char Char Char Char Char Char1"/>
    <w:basedOn w:val="972"/>
    <w:uiPriority w:val="0"/>
    <w:qFormat/>
    <w:pPr>
      <w:ind w:firstLine="200"/>
      <w:spacing w:line="360" w:lineRule="auto"/>
    </w:pPr>
    <w:rPr>
      <w:rFonts w:eastAsia="仿宋_GB2312"/>
      <w:sz w:val="24"/>
    </w:rPr>
  </w:style>
  <w:style w:type="paragraph" w:styleId="1327" w:customStyle="1">
    <w:name w:val="xl51"/>
    <w:basedOn w:val="97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8" w:customStyle="1">
    <w:name w:val="样式2"/>
    <w:basedOn w:val="1216"/>
    <w:uiPriority w:val="0"/>
    <w:qFormat/>
    <w:pPr>
      <w:jc w:val="center"/>
      <w:spacing w:line="360" w:lineRule="auto"/>
    </w:pPr>
    <w:rPr>
      <w:sz w:val="24"/>
    </w:rPr>
  </w:style>
  <w:style w:type="paragraph" w:styleId="1329" w:customStyle="1">
    <w:name w:val="xl24"/>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customStyle="1">
    <w:name w:val="xl29"/>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1" w:customStyle="1">
    <w:name w:val="正文 + 楷体_GB2312"/>
    <w:basedOn w:val="972"/>
    <w:uiPriority w:val="0"/>
    <w:qFormat/>
    <w:pPr>
      <w:jc w:val="left"/>
      <w:widowControl/>
    </w:pPr>
    <w:rPr>
      <w:rFonts w:ascii="楷体_GB2312" w:eastAsia="楷体_GB2312" w:cs="Arial"/>
      <w:sz w:val="24"/>
    </w:rPr>
  </w:style>
  <w:style w:type="paragraph" w:styleId="1332" w:customStyle="1">
    <w:name w:val="xl34"/>
    <w:basedOn w:val="9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3" w:customStyle="1">
    <w:name w:val="1 Char Char Char Char"/>
    <w:basedOn w:val="972"/>
    <w:uiPriority w:val="0"/>
    <w:qFormat/>
    <w:rPr>
      <w:rFonts w:ascii="Tahoma" w:hAnsi="Tahoma"/>
      <w:sz w:val="24"/>
      <w:szCs w:val="20"/>
    </w:rPr>
  </w:style>
  <w:style w:type="paragraph" w:styleId="1334" w:customStyle="1">
    <w:name w:val="列出段落1"/>
    <w:basedOn w:val="972"/>
    <w:uiPriority w:val="0"/>
    <w:qFormat/>
    <w:pPr>
      <w:ind w:firstLine="420"/>
    </w:pPr>
    <w:rPr>
      <w:rFonts w:ascii="Calibri" w:hAnsi="Calibri"/>
      <w:szCs w:val="22"/>
    </w:rPr>
  </w:style>
  <w:style w:type="paragraph" w:styleId="1335" w:customStyle="1">
    <w:name w:val="default"/>
    <w:basedOn w:val="972"/>
    <w:uiPriority w:val="0"/>
    <w:qFormat/>
    <w:pPr>
      <w:jc w:val="left"/>
      <w:spacing w:before="100" w:beforeAutospacing="1" w:after="100" w:afterAutospacing="1"/>
      <w:widowControl/>
    </w:pPr>
    <w:rPr>
      <w:rFonts w:ascii="宋体" w:hAnsi="宋体" w:cs="宋体"/>
      <w:sz w:val="24"/>
    </w:rPr>
  </w:style>
  <w:style w:type="paragraph" w:styleId="1336" w:customStyle="1">
    <w:name w:val="字元 字元1"/>
    <w:basedOn w:val="972"/>
    <w:uiPriority w:val="0"/>
    <w:qFormat/>
    <w:rPr>
      <w:rFonts w:ascii="Tahoma" w:hAnsi="Tahoma"/>
      <w:sz w:val="24"/>
      <w:szCs w:val="20"/>
    </w:rPr>
  </w:style>
  <w:style w:type="paragraph" w:styleId="1337" w:customStyle="1">
    <w:name w:val="_Style 160"/>
    <w:uiPriority w:val="0"/>
    <w:qFormat/>
    <w:rPr>
      <w:rFonts w:ascii="Times New Roman" w:hAnsi="Times New Roman" w:eastAsia="宋体" w:cs="Times New Roman"/>
      <w:sz w:val="21"/>
      <w:szCs w:val="24"/>
      <w:lang w:val="en-US" w:eastAsia="zh-CN" w:bidi="ar-SA"/>
    </w:rPr>
  </w:style>
  <w:style w:type="paragraph" w:styleId="1338" w:customStyle="1">
    <w:name w:val="项目编号3"/>
    <w:basedOn w:val="1299"/>
    <w:uiPriority w:val="0"/>
    <w:qFormat/>
    <w:pPr>
      <w:numPr>
        <w:ilvl w:val="0"/>
        <w:numId w:val="7"/>
      </w:numPr>
    </w:pPr>
  </w:style>
  <w:style w:type="paragraph" w:styleId="1339" w:customStyle="1">
    <w:name w:val="Char21"/>
    <w:basedOn w:val="972"/>
    <w:uiPriority w:val="0"/>
    <w:qFormat/>
    <w:rPr>
      <w:rFonts w:ascii="Tahoma" w:hAnsi="Tahoma"/>
      <w:sz w:val="24"/>
      <w:szCs w:val="20"/>
    </w:rPr>
  </w:style>
  <w:style w:type="paragraph" w:styleId="1340" w:customStyle="1">
    <w:name w:val="Char Char Char Char Char Char Char Char Char Char1"/>
    <w:basedOn w:val="972"/>
    <w:uiPriority w:val="0"/>
    <w:qFormat/>
    <w:rPr>
      <w:rFonts w:ascii="宋体" w:hAnsi="宋体" w:cs="Courier New"/>
      <w:sz w:val="32"/>
      <w:szCs w:val="32"/>
    </w:rPr>
  </w:style>
  <w:style w:type="paragraph" w:styleId="1341" w:customStyle="1">
    <w:name w:val="正文文本样式 加粗"/>
    <w:basedOn w:val="1299"/>
    <w:uiPriority w:val="0"/>
    <w:qFormat/>
    <w:rPr>
      <w:b/>
    </w:rPr>
  </w:style>
  <w:style w:type="paragraph" w:styleId="1342" w:customStyle="1">
    <w:name w:val="Char2 Char Char Char Char Char Char"/>
    <w:basedOn w:val="972"/>
    <w:uiPriority w:val="0"/>
    <w:qFormat/>
    <w:pPr>
      <w:jc w:val="center"/>
      <w:spacing w:line="400" w:lineRule="exact"/>
      <w:widowControl/>
    </w:pPr>
  </w:style>
  <w:style w:type="paragraph" w:styleId="1343" w:customStyle="1">
    <w:name w:val="Char Char4"/>
    <w:basedOn w:val="972"/>
    <w:uiPriority w:val="0"/>
    <w:qFormat/>
    <w:pPr>
      <w:jc w:val="center"/>
      <w:spacing w:line="400" w:lineRule="exact"/>
      <w:widowControl/>
    </w:pPr>
  </w:style>
  <w:style w:type="paragraph" w:styleId="1344" w:customStyle="1">
    <w:name w:val="Char3 Char Char Char1"/>
    <w:basedOn w:val="972"/>
    <w:uiPriority w:val="0"/>
    <w:qFormat/>
    <w:rPr>
      <w:rFonts w:ascii="Tahoma" w:hAnsi="Tahoma"/>
      <w:sz w:val="24"/>
      <w:szCs w:val="20"/>
    </w:rPr>
  </w:style>
  <w:style w:type="paragraph" w:styleId="134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22222222222222"/>
    <w:basedOn w:val="972"/>
    <w:uiPriority w:val="0"/>
    <w:qFormat/>
    <w:pPr>
      <w:ind w:firstLine="480"/>
      <w:jc w:val="left"/>
      <w:spacing w:line="360" w:lineRule="auto"/>
      <w:widowControl/>
    </w:pPr>
    <w:rPr>
      <w:color w:val="ff0000"/>
      <w:sz w:val="24"/>
      <w:szCs w:val="20"/>
    </w:rPr>
  </w:style>
  <w:style w:type="character" w:styleId="1347" w:customStyle="1">
    <w:name w:val="中等深浅网格 1 - 强调文字颜色 2 Char"/>
    <w:link w:val="1348"/>
    <w:uiPriority w:val="0"/>
    <w:qFormat/>
    <w:rPr>
      <w:sz w:val="21"/>
      <w:szCs w:val="24"/>
      <w:lang w:val="zh-CN" w:eastAsia="zh-CN" w:bidi="ar-SA"/>
    </w:rPr>
  </w:style>
  <w:style w:type="paragraph" w:styleId="1348" w:customStyle="1">
    <w:name w:val="1"/>
    <w:link w:val="1347"/>
    <w:uiPriority w:val="0"/>
    <w:qFormat/>
    <w:rPr>
      <w:rFonts w:ascii="Times New Roman" w:hAnsi="Times New Roman" w:eastAsia="宋体" w:cs="Times New Roman"/>
      <w:sz w:val="21"/>
      <w:szCs w:val="24"/>
      <w:lang w:val="zh-CN" w:eastAsia="zh-CN" w:bidi="ar-SA"/>
    </w:rPr>
  </w:style>
  <w:style w:type="paragraph" w:styleId="1349" w:customStyle="1">
    <w:name w:val="图文"/>
    <w:basedOn w:val="972"/>
    <w:uiPriority w:val="0"/>
    <w:qFormat/>
    <w:pPr>
      <w:spacing w:after="50" w:line="360" w:lineRule="auto"/>
    </w:pPr>
    <w:rPr>
      <w:sz w:val="24"/>
    </w:rPr>
  </w:style>
  <w:style w:type="paragraph" w:styleId="1350" w:customStyle="1">
    <w:name w:val="xl23"/>
    <w:basedOn w:val="972"/>
    <w:uiPriority w:val="0"/>
    <w:qFormat/>
    <w:pPr>
      <w:spacing w:before="100" w:beforeAutospacing="1" w:after="100" w:afterAutospacing="1" w:line="360" w:lineRule="auto"/>
      <w:widowControl/>
    </w:pPr>
    <w:rPr>
      <w:sz w:val="24"/>
      <w:szCs w:val="20"/>
    </w:rPr>
  </w:style>
  <w:style w:type="paragraph" w:styleId="1351" w:customStyle="1">
    <w:name w:val="正文表格"/>
    <w:basedOn w:val="972"/>
    <w:link w:val="1352"/>
    <w:uiPriority w:val="0"/>
    <w:qFormat/>
    <w:pPr>
      <w:jc w:val="left"/>
    </w:pPr>
    <w:rPr>
      <w:rFonts w:ascii="宋体" w:hAnsi="宋体"/>
      <w:color w:val="000000"/>
      <w:szCs w:val="21"/>
    </w:rPr>
  </w:style>
  <w:style w:type="character" w:styleId="1352" w:customStyle="1">
    <w:name w:val="正文表格 Char"/>
    <w:link w:val="1351"/>
    <w:uiPriority w:val="0"/>
    <w:qFormat/>
    <w:rPr>
      <w:rFonts w:ascii="宋体" w:hAnsi="宋体"/>
      <w:color w:val="000000"/>
      <w:sz w:val="21"/>
      <w:szCs w:val="21"/>
    </w:rPr>
  </w:style>
  <w:style w:type="paragraph" w:styleId="1353" w:customStyle="1">
    <w:name w:val="正文重点"/>
    <w:basedOn w:val="972"/>
    <w:link w:val="1354"/>
    <w:uiPriority w:val="0"/>
    <w:qFormat/>
    <w:pPr>
      <w:ind w:firstLine="482"/>
      <w:jc w:val="left"/>
      <w:spacing w:line="360" w:lineRule="auto"/>
    </w:pPr>
    <w:rPr>
      <w:b/>
      <w:sz w:val="24"/>
      <w:szCs w:val="20"/>
    </w:rPr>
  </w:style>
  <w:style w:type="character" w:styleId="1354" w:customStyle="1">
    <w:name w:val="正文重点 Char"/>
    <w:link w:val="1353"/>
    <w:uiPriority w:val="0"/>
    <w:qFormat/>
    <w:rPr>
      <w:b/>
      <w:sz w:val="24"/>
    </w:rPr>
  </w:style>
  <w:style w:type="paragraph" w:styleId="1355" w:customStyle="1">
    <w:name w:val="标题1-附件"/>
    <w:basedOn w:val="1163"/>
    <w:uiPriority w:val="0"/>
    <w:qFormat/>
    <w:pPr>
      <w:jc w:val="left"/>
    </w:pPr>
    <w:rPr>
      <w:sz w:val="24"/>
      <w:szCs w:val="24"/>
    </w:rPr>
  </w:style>
  <w:style w:type="paragraph" w:styleId="1356" w:customStyle="1">
    <w:name w:val="正文小标题"/>
    <w:basedOn w:val="972"/>
    <w:next w:val="1165"/>
    <w:link w:val="1357"/>
    <w:uiPriority w:val="0"/>
    <w:qFormat/>
    <w:pPr>
      <w:ind w:firstLine="482"/>
      <w:jc w:val="left"/>
      <w:spacing w:before="312" w:after="312"/>
    </w:pPr>
    <w:rPr>
      <w:rFonts w:ascii="宋体" w:hAnsi="宋体"/>
      <w:b/>
      <w:i/>
      <w:color w:val="ff0000"/>
      <w:sz w:val="24"/>
      <w:szCs w:val="20"/>
    </w:rPr>
  </w:style>
  <w:style w:type="character" w:styleId="1357" w:customStyle="1">
    <w:name w:val="正文小标题 Char"/>
    <w:link w:val="1356"/>
    <w:uiPriority w:val="0"/>
    <w:qFormat/>
    <w:rPr>
      <w:rFonts w:ascii="宋体" w:hAnsi="宋体"/>
      <w:b/>
      <w:i/>
      <w:color w:val="ff0000"/>
      <w:sz w:val="24"/>
    </w:rPr>
  </w:style>
  <w:style w:type="paragraph" w:styleId="1358" w:customStyle="1">
    <w:name w:val="正文大标题"/>
    <w:basedOn w:val="1356"/>
    <w:next w:val="1165"/>
    <w:link w:val="1359"/>
    <w:uiPriority w:val="0"/>
    <w:qFormat/>
    <w:pPr>
      <w:jc w:val="center"/>
    </w:pPr>
    <w:rPr>
      <w:i w:val="0"/>
      <w:color w:val="000000"/>
      <w:sz w:val="28"/>
      <w:szCs w:val="21"/>
    </w:rPr>
  </w:style>
  <w:style w:type="character" w:styleId="1359" w:customStyle="1">
    <w:name w:val="正文大标题 Char"/>
    <w:link w:val="1358"/>
    <w:uiPriority w:val="0"/>
    <w:qFormat/>
    <w:rPr>
      <w:rFonts w:ascii="宋体" w:hAnsi="宋体"/>
      <w:b/>
      <w:color w:val="000000"/>
      <w:sz w:val="28"/>
      <w:szCs w:val="21"/>
    </w:rPr>
  </w:style>
  <w:style w:type="paragraph" w:styleId="1360" w:customStyle="1">
    <w:name w:val="注释"/>
    <w:basedOn w:val="972"/>
    <w:link w:val="1361"/>
    <w:uiPriority w:val="0"/>
    <w:qFormat/>
    <w:pPr>
      <w:ind w:left="420" w:hanging="420"/>
      <w:jc w:val="left"/>
    </w:pPr>
    <w:rPr>
      <w:rFonts w:ascii="宋体" w:hAnsi="宋体"/>
      <w:szCs w:val="21"/>
    </w:rPr>
  </w:style>
  <w:style w:type="character" w:styleId="1361" w:customStyle="1">
    <w:name w:val="注释 Char"/>
    <w:link w:val="1360"/>
    <w:uiPriority w:val="0"/>
    <w:qFormat/>
    <w:rPr>
      <w:rFonts w:ascii="宋体" w:hAnsi="宋体"/>
      <w:sz w:val="21"/>
      <w:szCs w:val="21"/>
    </w:rPr>
  </w:style>
  <w:style w:type="paragraph" w:styleId="1362" w:customStyle="1">
    <w:name w:val="正文须知-1级"/>
    <w:basedOn w:val="972"/>
    <w:next w:val="972"/>
    <w:uiPriority w:val="0"/>
    <w:qFormat/>
    <w:pPr>
      <w:numPr>
        <w:ilvl w:val="0"/>
        <w:numId w:val="8"/>
      </w:numPr>
      <w:spacing w:line="300" w:lineRule="auto"/>
    </w:pPr>
    <w:rPr>
      <w:rFonts w:ascii="宋体" w:hAnsi="Calibri"/>
      <w:sz w:val="24"/>
      <w:szCs w:val="21"/>
    </w:rPr>
  </w:style>
  <w:style w:type="paragraph" w:styleId="1363" w:customStyle="1">
    <w:name w:val="正文须知-2级"/>
    <w:basedOn w:val="972"/>
    <w:uiPriority w:val="0"/>
    <w:qFormat/>
    <w:pPr>
      <w:numPr>
        <w:ilvl w:val="1"/>
        <w:numId w:val="8"/>
      </w:numPr>
      <w:spacing w:line="300" w:lineRule="auto"/>
    </w:pPr>
    <w:rPr>
      <w:rFonts w:ascii="宋体" w:hAnsi="Calibri"/>
      <w:sz w:val="24"/>
      <w:szCs w:val="21"/>
    </w:rPr>
  </w:style>
  <w:style w:type="paragraph" w:styleId="1364" w:customStyle="1">
    <w:name w:val="正文须知-3级"/>
    <w:basedOn w:val="972"/>
    <w:uiPriority w:val="0"/>
    <w:qFormat/>
    <w:pPr>
      <w:numPr>
        <w:ilvl w:val="2"/>
        <w:numId w:val="8"/>
      </w:numPr>
      <w:ind w:hanging="355"/>
      <w:spacing w:line="300" w:lineRule="auto"/>
    </w:pPr>
    <w:rPr>
      <w:rFonts w:ascii="宋体" w:hAnsi="Calibri"/>
      <w:sz w:val="24"/>
      <w:szCs w:val="21"/>
    </w:rPr>
  </w:style>
  <w:style w:type="character" w:styleId="1365" w:customStyle="1">
    <w:name w:val="纯文本 字符"/>
    <w:uiPriority w:val="99"/>
    <w:qFormat/>
    <w:rPr>
      <w:rFonts w:ascii="宋体" w:hAnsi="Courier New" w:eastAsia="宋体" w:cs="Times New Roman"/>
      <w:sz w:val="21"/>
      <w:szCs w:val="21"/>
      <w:lang w:val="en-US" w:eastAsia="zh-CN" w:bidi="ar-SA"/>
    </w:rPr>
  </w:style>
  <w:style w:type="paragraph" w:styleId="1366" w:customStyle="1">
    <w:name w:val="表格1"/>
    <w:basedOn w:val="972"/>
    <w:uiPriority w:val="0"/>
    <w:qFormat/>
    <w:pPr>
      <w:ind w:firstLine="480"/>
      <w:jc w:val="center"/>
    </w:pPr>
    <w:rPr>
      <w:sz w:val="24"/>
      <w:szCs w:val="20"/>
    </w:rPr>
  </w:style>
  <w:style w:type="character" w:styleId="1367" w:customStyle="1">
    <w:name w:val="纯文本 字符1"/>
    <w:uiPriority w:val="0"/>
    <w:qFormat/>
    <w:rPr>
      <w:rFonts w:ascii="宋体" w:hAnsi="Courier New"/>
    </w:rPr>
  </w:style>
  <w:style w:type="character" w:styleId="1368" w:customStyle="1">
    <w:name w:val="bjh-p"/>
    <w:uiPriority w:val="0"/>
    <w:qFormat/>
  </w:style>
  <w:style w:type="paragraph" w:styleId="1369" w:customStyle="1">
    <w:name w:val="无标题条"/>
    <w:next w:val="972"/>
    <w:uiPriority w:val="0"/>
    <w:qFormat/>
    <w:pPr>
      <w:jc w:val="both"/>
    </w:pPr>
    <w:rPr>
      <w:rFonts w:ascii="Times New Roman" w:hAnsi="Times New Roman" w:eastAsia="宋体" w:cs="Times New Roman"/>
      <w:sz w:val="21"/>
      <w:lang w:val="en-US" w:eastAsia="zh-CN" w:bidi="ar-SA"/>
    </w:rPr>
  </w:style>
  <w:style w:type="character" w:styleId="1370" w:customStyle="1">
    <w:name w:val="正文格式 Char"/>
    <w:link w:val="1371"/>
    <w:uiPriority w:val="0"/>
    <w:qFormat/>
    <w:rPr>
      <w:rFonts w:ascii="宋体" w:hAnsi="宋体"/>
      <w:sz w:val="24"/>
      <w:szCs w:val="24"/>
      <w:lang w:val="en-GB"/>
    </w:rPr>
  </w:style>
  <w:style w:type="paragraph" w:styleId="1371" w:customStyle="1">
    <w:name w:val="正文格式"/>
    <w:basedOn w:val="972"/>
    <w:link w:val="1370"/>
    <w:uiPriority w:val="0"/>
    <w:qFormat/>
    <w:pPr>
      <w:ind w:firstLine="480"/>
      <w:spacing w:line="360" w:lineRule="auto"/>
    </w:pPr>
    <w:rPr>
      <w:rFonts w:ascii="宋体" w:hAnsi="宋体"/>
      <w:sz w:val="24"/>
      <w:lang w:val="en-GB"/>
    </w:rPr>
  </w:style>
  <w:style w:type="character" w:styleId="1372" w:customStyle="1">
    <w:name w:val="标题 3 Char"/>
    <w:uiPriority w:val="0"/>
    <w:qFormat/>
    <w:rPr>
      <w:rFonts w:ascii="宋体" w:eastAsia="宋体"/>
      <w:b/>
      <w:sz w:val="24"/>
      <w:u w:val="single"/>
      <w:lang w:val="en-US" w:eastAsia="zh-CN" w:bidi="ar-SA"/>
    </w:rPr>
  </w:style>
  <w:style w:type="character" w:styleId="1373" w:customStyle="1">
    <w:name w:val="正文缩进 Char"/>
    <w:uiPriority w:val="0"/>
    <w:qFormat/>
    <w:rPr>
      <w:rFonts w:ascii="宋体" w:eastAsia="宋体"/>
      <w:sz w:val="24"/>
      <w:szCs w:val="24"/>
      <w:lang w:val="en-US" w:eastAsia="zh-CN" w:bidi="ar-SA"/>
    </w:rPr>
  </w:style>
  <w:style w:type="character" w:styleId="1374" w:customStyle="1">
    <w:name w:val="Char Char111"/>
    <w:uiPriority w:val="0"/>
    <w:qFormat/>
    <w:rPr>
      <w:rFonts w:ascii="宋体" w:eastAsia="宋体"/>
      <w:b/>
      <w:sz w:val="24"/>
      <w:u w:val="single"/>
      <w:lang w:val="en-US" w:eastAsia="zh-CN" w:bidi="ar-SA"/>
    </w:rPr>
  </w:style>
  <w:style w:type="character" w:styleId="1375" w:customStyle="1">
    <w:name w:val="正文文本缩进 Char"/>
    <w:uiPriority w:val="0"/>
    <w:qFormat/>
    <w:rPr>
      <w:rFonts w:eastAsia="宋体"/>
      <w:sz w:val="24"/>
      <w:szCs w:val="24"/>
      <w:lang w:val="en-US" w:eastAsia="zh-CN" w:bidi="ar-SA"/>
    </w:rPr>
  </w:style>
  <w:style w:type="character" w:styleId="1376" w:customStyle="1">
    <w:name w:val="列出段落 Char"/>
    <w:uiPriority w:val="0"/>
    <w:qFormat/>
    <w:rPr>
      <w:rFonts w:ascii="Calibri" w:hAnsi="Calibri" w:eastAsia="宋体"/>
      <w:sz w:val="21"/>
      <w:szCs w:val="22"/>
      <w:lang w:val="en-US" w:eastAsia="zh-CN" w:bidi="ar-SA"/>
    </w:rPr>
  </w:style>
  <w:style w:type="character" w:styleId="1377" w:customStyle="1">
    <w:name w:val="页眉 Char"/>
    <w:uiPriority w:val="0"/>
    <w:qFormat/>
    <w:rPr>
      <w:rFonts w:eastAsia="宋体"/>
      <w:sz w:val="18"/>
      <w:szCs w:val="18"/>
      <w:lang w:val="en-US" w:eastAsia="zh-CN" w:bidi="ar-SA"/>
    </w:rPr>
  </w:style>
  <w:style w:type="character" w:styleId="1378" w:customStyle="1">
    <w:name w:val="标题 2 Char"/>
    <w:uiPriority w:val="0"/>
    <w:qFormat/>
    <w:rPr>
      <w:rFonts w:ascii="Arial" w:hAnsi="Arial" w:eastAsia="黑体"/>
      <w:b/>
      <w:sz w:val="30"/>
      <w:lang w:val="en-US" w:eastAsia="zh-CN" w:bidi="ar-SA"/>
    </w:rPr>
  </w:style>
  <w:style w:type="paragraph" w:styleId="1379" w:customStyle="1">
    <w:name w:val="字元 字元2"/>
    <w:basedOn w:val="972"/>
    <w:uiPriority w:val="0"/>
    <w:qFormat/>
    <w:rPr>
      <w:rFonts w:ascii="Tahoma" w:hAnsi="Tahoma"/>
      <w:sz w:val="24"/>
      <w:szCs w:val="20"/>
    </w:rPr>
  </w:style>
  <w:style w:type="paragraph" w:styleId="1380" w:customStyle="1">
    <w:name w:val="Char3 Char Char Char2"/>
    <w:basedOn w:val="972"/>
    <w:uiPriority w:val="0"/>
    <w:qFormat/>
    <w:rPr>
      <w:rFonts w:ascii="Tahoma" w:hAnsi="Tahoma"/>
      <w:sz w:val="24"/>
      <w:szCs w:val="20"/>
    </w:rPr>
  </w:style>
  <w:style w:type="paragraph" w:styleId="1381" w:customStyle="1">
    <w:name w:val="正文文本缩进2"/>
    <w:basedOn w:val="972"/>
    <w:uiPriority w:val="0"/>
    <w:qFormat/>
    <w:pPr>
      <w:ind w:firstLine="480"/>
      <w:spacing w:line="480" w:lineRule="exact"/>
    </w:pPr>
    <w:rPr>
      <w:rFonts w:ascii="宋体" w:hAnsi="宋体"/>
      <w:sz w:val="24"/>
      <w:lang w:val="zh-CN"/>
    </w:rPr>
  </w:style>
  <w:style w:type="paragraph" w:styleId="1382" w:customStyle="1">
    <w:name w:val="Char3"/>
    <w:basedOn w:val="972"/>
    <w:uiPriority w:val="0"/>
    <w:qFormat/>
    <w:pPr>
      <w:tabs>
        <w:tab w:val="left" w:pos="360" w:leader="none"/>
      </w:tabs>
    </w:pPr>
    <w:rPr>
      <w:sz w:val="24"/>
    </w:rPr>
  </w:style>
  <w:style w:type="paragraph" w:styleId="1383" w:customStyle="1">
    <w:name w:val="Char Char Char Char Char Char Char Char Char Char Char Char Char Char Char Char1"/>
    <w:basedOn w:val="972"/>
    <w:uiPriority w:val="0"/>
    <w:qFormat/>
    <w:pPr>
      <w:jc w:val="center"/>
      <w:spacing w:after="160" w:line="240" w:lineRule="exact"/>
      <w:widowControl/>
    </w:pPr>
    <w:rPr>
      <w:rFonts w:ascii="宋体" w:hAnsi="宋体"/>
      <w:b/>
      <w:sz w:val="30"/>
      <w:szCs w:val="30"/>
      <w:lang w:eastAsia="en-US"/>
    </w:rPr>
  </w:style>
  <w:style w:type="paragraph" w:styleId="1384" w:customStyle="1">
    <w:name w:val="Char Char1 Char Char Char Char Char Char1"/>
    <w:basedOn w:val="972"/>
    <w:uiPriority w:val="0"/>
    <w:qFormat/>
    <w:pPr>
      <w:jc w:val="left"/>
      <w:spacing w:after="160" w:line="240" w:lineRule="exact"/>
      <w:widowControl/>
    </w:pPr>
    <w:rPr>
      <w:rFonts w:ascii="Verdana" w:hAnsi="Verdana" w:eastAsia="仿宋_GB2312"/>
      <w:sz w:val="24"/>
      <w:szCs w:val="20"/>
      <w:lang w:eastAsia="en-US"/>
    </w:rPr>
  </w:style>
  <w:style w:type="paragraph" w:styleId="1385" w:customStyle="1">
    <w:name w:val="列出段落2"/>
    <w:basedOn w:val="972"/>
    <w:uiPriority w:val="0"/>
    <w:qFormat/>
    <w:pPr>
      <w:ind w:firstLine="420"/>
    </w:pPr>
    <w:rPr>
      <w:rFonts w:ascii="Calibri" w:hAnsi="Calibri"/>
      <w:szCs w:val="22"/>
    </w:rPr>
  </w:style>
  <w:style w:type="paragraph" w:styleId="1386" w:customStyle="1">
    <w:name w:val="Char Char Char1 Char2"/>
    <w:basedOn w:val="972"/>
    <w:uiPriority w:val="0"/>
    <w:qFormat/>
    <w:rPr>
      <w:rFonts w:ascii="Tahoma" w:hAnsi="Tahoma"/>
      <w:sz w:val="24"/>
      <w:szCs w:val="20"/>
    </w:rPr>
  </w:style>
  <w:style w:type="paragraph" w:styleId="1387" w:customStyle="1">
    <w:name w:val="Char Char Char2"/>
    <w:basedOn w:val="972"/>
    <w:uiPriority w:val="0"/>
    <w:qFormat/>
    <w:rPr>
      <w:rFonts w:ascii="Tahoma" w:hAnsi="Tahoma"/>
      <w:sz w:val="24"/>
      <w:szCs w:val="20"/>
    </w:rPr>
  </w:style>
  <w:style w:type="paragraph" w:styleId="1388" w:customStyle="1">
    <w:name w:val="Char Char Char Char Char Char Char2"/>
    <w:basedOn w:val="972"/>
    <w:uiPriority w:val="0"/>
    <w:qFormat/>
    <w:pPr>
      <w:ind w:firstLine="200"/>
      <w:spacing w:line="360" w:lineRule="auto"/>
    </w:pPr>
    <w:rPr>
      <w:rFonts w:eastAsia="仿宋_GB2312"/>
      <w:sz w:val="24"/>
    </w:rPr>
  </w:style>
  <w:style w:type="paragraph" w:styleId="1389" w:customStyle="1">
    <w:name w:val="正文缩进2"/>
    <w:basedOn w:val="972"/>
    <w:uiPriority w:val="0"/>
    <w:qFormat/>
    <w:pPr>
      <w:ind w:firstLine="567"/>
      <w:spacing w:line="480" w:lineRule="exact"/>
      <w:widowControl/>
    </w:pPr>
    <w:rPr>
      <w:rFonts w:ascii="宋体"/>
      <w:color w:val="000000"/>
      <w:sz w:val="28"/>
      <w:szCs w:val="20"/>
      <w:lang w:val="zh-CN"/>
    </w:rPr>
  </w:style>
  <w:style w:type="paragraph" w:styleId="1390" w:customStyle="1">
    <w:name w:val="修订1"/>
    <w:uiPriority w:val="0"/>
    <w:qFormat/>
    <w:rPr>
      <w:rFonts w:ascii="Times New Roman" w:hAnsi="Times New Roman" w:eastAsia="宋体" w:cs="Times New Roman"/>
      <w:sz w:val="21"/>
      <w:szCs w:val="24"/>
      <w:lang w:val="en-US" w:eastAsia="zh-CN" w:bidi="ar-SA"/>
    </w:rPr>
  </w:style>
  <w:style w:type="paragraph" w:styleId="1391" w:customStyle="1">
    <w:name w:val="Char22"/>
    <w:basedOn w:val="972"/>
    <w:uiPriority w:val="0"/>
    <w:qFormat/>
    <w:rPr>
      <w:rFonts w:ascii="Tahoma" w:hAnsi="Tahoma"/>
      <w:sz w:val="24"/>
      <w:szCs w:val="20"/>
    </w:rPr>
  </w:style>
  <w:style w:type="paragraph" w:styleId="1392" w:customStyle="1">
    <w:name w:val="Char Char Char Char Char Char Char Char Char Char2"/>
    <w:basedOn w:val="972"/>
    <w:uiPriority w:val="0"/>
    <w:qFormat/>
    <w:rPr>
      <w:rFonts w:ascii="宋体" w:hAnsi="宋体" w:cs="Courier New"/>
      <w:sz w:val="32"/>
      <w:szCs w:val="32"/>
    </w:rPr>
  </w:style>
  <w:style w:type="paragraph" w:styleId="1393" w:customStyle="1">
    <w:name w:val="Char2 Char Char Char Char Char Char1"/>
    <w:basedOn w:val="972"/>
    <w:uiPriority w:val="0"/>
    <w:qFormat/>
    <w:pPr>
      <w:jc w:val="center"/>
      <w:spacing w:line="400" w:lineRule="exact"/>
      <w:widowControl/>
    </w:pPr>
  </w:style>
  <w:style w:type="character" w:styleId="1394" w:customStyle="1">
    <w:name w:val="页脚 Char"/>
    <w:uiPriority w:val="0"/>
    <w:qFormat/>
    <w:rPr>
      <w:rFonts w:ascii="宋体" w:eastAsia="宋体"/>
      <w:sz w:val="18"/>
      <w:lang w:val="en-US" w:eastAsia="zh-CN" w:bidi="ar-SA"/>
    </w:rPr>
  </w:style>
  <w:style w:type="paragraph" w:styleId="1395" w:customStyle="1">
    <w:name w:val="Char Char41"/>
    <w:basedOn w:val="972"/>
    <w:uiPriority w:val="0"/>
    <w:qFormat/>
    <w:pPr>
      <w:jc w:val="center"/>
      <w:spacing w:line="400" w:lineRule="exact"/>
      <w:widowControl/>
    </w:pPr>
  </w:style>
  <w:style w:type="character" w:styleId="1396" w:customStyle="1">
    <w:name w:val="批注文字 Char"/>
    <w:uiPriority w:val="99"/>
    <w:qFormat/>
    <w:rPr>
      <w:sz w:val="21"/>
      <w:szCs w:val="24"/>
    </w:rPr>
  </w:style>
  <w:style w:type="character" w:styleId="1397" w:customStyle="1">
    <w:name w:val="标题 Char"/>
    <w:uiPriority w:val="0"/>
    <w:qFormat/>
    <w:rPr>
      <w:b/>
      <w:sz w:val="32"/>
    </w:rPr>
  </w:style>
  <w:style w:type="paragraph" w:styleId="1398" w:customStyle="1">
    <w:name w:val="图例"/>
    <w:basedOn w:val="972"/>
    <w:uiPriority w:val="0"/>
    <w:qFormat/>
    <w:pPr>
      <w:jc w:val="center"/>
      <w:spacing w:before="120" w:after="120" w:line="360" w:lineRule="auto"/>
    </w:pPr>
    <w:rPr>
      <w:rFonts w:eastAsia="仿宋_GB2312"/>
      <w:b/>
      <w:sz w:val="24"/>
      <w:szCs w:val="20"/>
    </w:rPr>
  </w:style>
  <w:style w:type="paragraph" w:styleId="1399" w:customStyle="1">
    <w:name w:val="Table Paragraph"/>
    <w:basedOn w:val="972"/>
    <w:uiPriority w:val="1"/>
    <w:qFormat/>
    <w:pPr>
      <w:jc w:val="left"/>
    </w:pPr>
    <w:rPr>
      <w:rFonts w:ascii="宋体" w:hAnsi="宋体" w:cs="宋体"/>
      <w:sz w:val="22"/>
      <w:szCs w:val="22"/>
      <w:lang w:eastAsia="en-US"/>
    </w:rPr>
  </w:style>
  <w:style w:type="table" w:styleId="140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01" w:customStyle="1">
    <w:name w:val="成文日期"/>
    <w:basedOn w:val="972"/>
    <w:link w:val="1402"/>
    <w:uiPriority w:val="0"/>
    <w:qFormat/>
    <w:pPr>
      <w:ind w:right="400" w:firstLine="200"/>
      <w:jc w:val="right"/>
      <w:spacing w:line="570" w:lineRule="exact"/>
    </w:pPr>
    <w:rPr>
      <w:rFonts w:ascii="仿宋_GB2312" w:eastAsia="仿宋_GB2312"/>
      <w:sz w:val="32"/>
      <w:szCs w:val="20"/>
    </w:rPr>
  </w:style>
  <w:style w:type="character" w:styleId="1402" w:customStyle="1">
    <w:name w:val="成文日期 Char"/>
    <w:link w:val="1401"/>
    <w:uiPriority w:val="0"/>
    <w:qFormat/>
    <w:rPr>
      <w:rFonts w:ascii="仿宋_GB2312" w:eastAsia="仿宋_GB2312"/>
      <w:sz w:val="32"/>
    </w:rPr>
  </w:style>
  <w:style w:type="paragraph" w:styleId="1403" w:customStyle="1">
    <w:name w:val="_Style 15"/>
    <w:basedOn w:val="972"/>
    <w:next w:val="972"/>
    <w:uiPriority w:val="0"/>
    <w:qFormat/>
    <w:pPr>
      <w:ind w:left="420" w:firstLine="420"/>
      <w:spacing w:after="120"/>
    </w:pPr>
    <w:rPr>
      <w:szCs w:val="22"/>
    </w:rPr>
  </w:style>
  <w:style w:type="paragraph" w:styleId="1404" w:customStyle="1">
    <w:name w:val="修订2"/>
    <w:uiPriority w:val="99"/>
    <w:unhideWhenUsed/>
    <w:qFormat/>
    <w:rPr>
      <w:rFonts w:ascii="Times New Roman" w:hAnsi="Times New Roman" w:eastAsia="宋体" w:cs="Times New Roman"/>
      <w:sz w:val="21"/>
      <w:szCs w:val="24"/>
      <w:lang w:val="en-US" w:eastAsia="zh-CN" w:bidi="ar-SA"/>
    </w:rPr>
  </w:style>
  <w:style w:type="character" w:styleId="1405" w:customStyle="1">
    <w:name w:val="标题 2 Char1"/>
    <w:uiPriority w:val="0"/>
    <w:qFormat/>
    <w:rPr>
      <w:rFonts w:ascii="Arial" w:hAnsi="Arial" w:eastAsia="黑体"/>
      <w:b/>
      <w:sz w:val="30"/>
      <w:lang w:val="en-US" w:eastAsia="zh-CN" w:bidi="ar-SA"/>
    </w:rPr>
  </w:style>
  <w:style w:type="paragraph" w:styleId="1406" w:customStyle="1">
    <w:name w:val="Table Text"/>
    <w:basedOn w:val="972"/>
    <w:uiPriority w:val="0"/>
    <w:semiHidden/>
    <w:qFormat/>
    <w:rPr>
      <w:rFonts w:ascii="宋体" w:hAnsi="宋体" w:cs="宋体"/>
      <w:sz w:val="24"/>
      <w:lang w:eastAsia="en-US"/>
    </w:rPr>
  </w:style>
  <w:style w:type="paragraph" w:styleId="1407" w:customStyle="1">
    <w:name w:val="Normal_19"/>
    <w:uiPriority w:val="0"/>
    <w:qFormat/>
    <w:rPr>
      <w:rFonts w:ascii="Times New Roman" w:hAnsi="Times New Roman" w:eastAsia="Times New Roman" w:cs="Times New Roman"/>
      <w:sz w:val="24"/>
      <w:szCs w:val="24"/>
      <w:lang w:val="en-US" w:eastAsia="zh-CN" w:bidi="ar-SA"/>
    </w:rPr>
  </w:style>
  <w:style w:type="character" w:styleId="1408" w:customStyle="1">
    <w:name w:val="批注框文本 Char"/>
    <w:basedOn w:val="982"/>
    <w:link w:val="996"/>
    <w:uiPriority w:val="99"/>
    <w:semiHidden/>
    <w:qFormat/>
    <w:rPr>
      <w:sz w:val="18"/>
      <w:szCs w:val="18"/>
    </w:rPr>
  </w:style>
  <w:style w:type="numbering" w:styleId="13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 Id="rId2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周洁</cp:lastModifiedBy>
  <cp:revision>8</cp:revision>
  <dcterms:created xsi:type="dcterms:W3CDTF">2025-04-25T07:35:00Z</dcterms:created>
  <dcterms:modified xsi:type="dcterms:W3CDTF">2025-11-13T08:33:40Z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A629A9512D4D4654BAFEFD40FFDA460F_13</vt:lpwstr>
  </property>
  <property fmtid="{D5CDD505-2E9C-101B-9397-08002B2CF9AE}" pid="4" name="KSOTemplateDocerSaveRecord">
    <vt:lpwstr>eyJoZGlkIjoiOTNhMzI2NTRjOWZlOWViMDkyNmJiNTlmOGVhMDdjZGQiLCJ1c2VySWQiOiIyNDAyNDY5NjEifQ==</vt:lpwstr>
  </property>
</Properties>
</file>